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B2D41">
      <w:pPr>
        <w:spacing w:before="102" w:line="182" w:lineRule="auto"/>
        <w:ind w:left="461"/>
        <w:rPr>
          <w:rFonts w:ascii="宋体" w:hAnsi="宋体" w:eastAsia="宋体" w:cs="宋体"/>
          <w:b/>
          <w:bCs/>
          <w:spacing w:val="-7"/>
          <w:sz w:val="28"/>
          <w:szCs w:val="28"/>
          <w:lang w:eastAsia="zh-CN"/>
        </w:rPr>
      </w:pPr>
      <w:bookmarkStart w:id="32" w:name="_GoBack"/>
      <w:bookmarkEnd w:id="32"/>
      <w:r>
        <w:rPr>
          <w:rFonts w:ascii="宋体" w:hAnsi="宋体" w:eastAsia="宋体" w:cs="宋体"/>
          <w:b/>
          <w:bCs/>
          <w:spacing w:val="-7"/>
          <w:sz w:val="28"/>
          <w:szCs w:val="28"/>
          <w:lang w:eastAsia="zh-CN"/>
        </w:rPr>
        <mc:AlternateContent>
          <mc:Choice Requires="wps">
            <w:drawing>
              <wp:anchor distT="0" distB="0" distL="114300" distR="114300" simplePos="0" relativeHeight="251661312" behindDoc="0" locked="0" layoutInCell="0" allowOverlap="1">
                <wp:simplePos x="0" y="0"/>
                <wp:positionH relativeFrom="page">
                  <wp:posOffset>624840</wp:posOffset>
                </wp:positionH>
                <wp:positionV relativeFrom="page">
                  <wp:posOffset>8474710</wp:posOffset>
                </wp:positionV>
                <wp:extent cx="6122035" cy="12700"/>
                <wp:effectExtent l="0" t="0" r="0" b="0"/>
                <wp:wrapNone/>
                <wp:docPr id="1" name="任意多边形 1"/>
                <wp:cNvGraphicFramePr/>
                <a:graphic xmlns:a="http://schemas.openxmlformats.org/drawingml/2006/main">
                  <a:graphicData uri="http://schemas.microsoft.com/office/word/2010/wordprocessingShape">
                    <wps:wsp>
                      <wps:cNvSpPr/>
                      <wps:spPr>
                        <a:xfrm>
                          <a:off x="0" y="0"/>
                          <a:ext cx="6122035" cy="12700"/>
                        </a:xfrm>
                        <a:custGeom>
                          <a:avLst/>
                          <a:gdLst/>
                          <a:ahLst/>
                          <a:cxnLst/>
                          <a:rect l="0" t="0" r="0" b="0"/>
                          <a:pathLst>
                            <a:path w="9640" h="20">
                              <a:moveTo>
                                <a:pt x="0" y="19"/>
                              </a:moveTo>
                              <a:lnTo>
                                <a:pt x="3231" y="19"/>
                              </a:lnTo>
                              <a:lnTo>
                                <a:pt x="3231" y="0"/>
                              </a:lnTo>
                              <a:lnTo>
                                <a:pt x="0" y="0"/>
                              </a:lnTo>
                              <a:lnTo>
                                <a:pt x="0" y="19"/>
                              </a:lnTo>
                              <a:close/>
                            </a:path>
                            <a:path w="9640" h="20">
                              <a:moveTo>
                                <a:pt x="3231" y="19"/>
                              </a:moveTo>
                              <a:lnTo>
                                <a:pt x="3250" y="19"/>
                              </a:lnTo>
                              <a:lnTo>
                                <a:pt x="3250" y="0"/>
                              </a:lnTo>
                              <a:lnTo>
                                <a:pt x="3231" y="0"/>
                              </a:lnTo>
                              <a:lnTo>
                                <a:pt x="3231" y="19"/>
                              </a:lnTo>
                              <a:close/>
                            </a:path>
                            <a:path w="9640" h="20">
                              <a:moveTo>
                                <a:pt x="3250" y="19"/>
                              </a:moveTo>
                              <a:lnTo>
                                <a:pt x="6406" y="19"/>
                              </a:lnTo>
                              <a:lnTo>
                                <a:pt x="6406" y="0"/>
                              </a:lnTo>
                              <a:lnTo>
                                <a:pt x="3250" y="0"/>
                              </a:lnTo>
                              <a:lnTo>
                                <a:pt x="3250" y="19"/>
                              </a:lnTo>
                              <a:close/>
                            </a:path>
                            <a:path w="9640" h="20">
                              <a:moveTo>
                                <a:pt x="6406" y="19"/>
                              </a:moveTo>
                              <a:lnTo>
                                <a:pt x="6426" y="19"/>
                              </a:lnTo>
                              <a:lnTo>
                                <a:pt x="6426" y="0"/>
                              </a:lnTo>
                              <a:lnTo>
                                <a:pt x="6406" y="0"/>
                              </a:lnTo>
                              <a:lnTo>
                                <a:pt x="6406" y="19"/>
                              </a:lnTo>
                              <a:close/>
                            </a:path>
                            <a:path w="9640" h="20">
                              <a:moveTo>
                                <a:pt x="6426" y="19"/>
                              </a:moveTo>
                              <a:lnTo>
                                <a:pt x="9640" y="19"/>
                              </a:lnTo>
                              <a:lnTo>
                                <a:pt x="9640" y="0"/>
                              </a:lnTo>
                              <a:lnTo>
                                <a:pt x="6426" y="0"/>
                              </a:lnTo>
                              <a:lnTo>
                                <a:pt x="6426" y="19"/>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49.2pt;margin-top:667.3pt;height:1pt;width:482.05pt;mso-position-horizontal-relative:page;mso-position-vertical-relative:page;z-index:251661312;mso-width-relative:page;mso-height-relative:page;" fillcolor="#000000" filled="t" stroked="f" coordsize="9640,20" o:allowincell="f" o:gfxdata="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OXedZbbAAAADQEA&#10;AA8AAAAAAAAAAQAgAAAAIgAAAGRycy9kb3ducmV2LnhtbFBLAQIUABQAAAAIAIdO4kAs2vSGiQIA&#10;AHIIAAAOAAAAAAAAAAEAIAAAACoBAABkcnMvZTJvRG9jLnhtbFBLBQYAAAAABgAGAFkBAAAlBgAA&#10;AAA=&#10;" path="m0,19l3231,19,3231,0,0,0,0,19xem3231,19l3250,19,3250,0,3231,0,3231,19xem3250,19l6406,19,6406,0,3250,0,3250,19xem6406,19l6426,19,6426,0,6406,0,6406,19xem6426,19l9640,19,9640,0,6426,0,6426,19xe">
                <v:fill on="t" focussize="0,0"/>
                <v:stroke on="f"/>
                <v:imagedata o:title=""/>
                <o:lock v:ext="edit" aspectratio="f"/>
              </v:shape>
            </w:pict>
          </mc:Fallback>
        </mc:AlternateContent>
      </w:r>
      <w:r>
        <w:rPr>
          <w:rFonts w:ascii="宋体" w:hAnsi="宋体" w:eastAsia="宋体" w:cs="宋体"/>
          <w:b/>
          <w:bCs/>
          <w:spacing w:val="-7"/>
          <w:sz w:val="28"/>
          <w:szCs w:val="28"/>
          <w:lang w:eastAsia="zh-CN"/>
        </w:rPr>
        <w:t xml:space="preserve">ICS </w:t>
      </w:r>
      <w:r>
        <w:rPr>
          <w:rFonts w:hint="eastAsia" w:ascii="宋体" w:hAnsi="宋体" w:eastAsia="宋体" w:cs="宋体"/>
          <w:b/>
          <w:bCs/>
          <w:spacing w:val="-7"/>
          <w:sz w:val="28"/>
          <w:szCs w:val="28"/>
          <w:lang w:eastAsia="zh-CN"/>
        </w:rPr>
        <w:t>11</w:t>
      </w:r>
      <w:r>
        <w:rPr>
          <w:rFonts w:ascii="宋体" w:hAnsi="宋体" w:eastAsia="宋体" w:cs="宋体"/>
          <w:b/>
          <w:bCs/>
          <w:spacing w:val="-7"/>
          <w:sz w:val="28"/>
          <w:szCs w:val="28"/>
          <w:lang w:eastAsia="zh-CN"/>
        </w:rPr>
        <w:t>.</w:t>
      </w:r>
      <w:r>
        <w:rPr>
          <w:rFonts w:hint="eastAsia" w:ascii="宋体" w:hAnsi="宋体" w:eastAsia="宋体" w:cs="宋体"/>
          <w:b/>
          <w:bCs/>
          <w:spacing w:val="-7"/>
          <w:sz w:val="28"/>
          <w:szCs w:val="28"/>
          <w:lang w:eastAsia="zh-CN"/>
        </w:rPr>
        <w:t>020</w:t>
      </w:r>
    </w:p>
    <w:p w14:paraId="2E53C97E">
      <w:pPr>
        <w:spacing w:line="355" w:lineRule="auto"/>
      </w:pPr>
    </w:p>
    <w:p w14:paraId="5F65A70F">
      <w:pPr>
        <w:spacing w:before="91" w:line="182" w:lineRule="auto"/>
        <w:ind w:left="443"/>
        <w:rPr>
          <w:rFonts w:ascii="宋体" w:hAnsi="宋体" w:eastAsia="宋体" w:cs="宋体"/>
          <w:sz w:val="28"/>
          <w:szCs w:val="28"/>
          <w:lang w:eastAsia="zh-CN"/>
        </w:rPr>
      </w:pPr>
      <w:r>
        <w:rPr>
          <w:rFonts w:ascii="宋体" w:hAnsi="宋体" w:eastAsia="宋体" w:cs="宋体"/>
          <w:b/>
          <w:bCs/>
          <w:spacing w:val="-5"/>
          <w:sz w:val="28"/>
          <w:szCs w:val="28"/>
        </w:rPr>
        <w:t>C</w:t>
      </w:r>
      <w:r>
        <w:rPr>
          <w:rFonts w:hint="eastAsia" w:ascii="宋体" w:hAnsi="宋体" w:eastAsia="宋体" w:cs="宋体"/>
          <w:b/>
          <w:bCs/>
          <w:spacing w:val="-5"/>
          <w:sz w:val="28"/>
          <w:szCs w:val="28"/>
          <w:lang w:eastAsia="zh-CN"/>
        </w:rPr>
        <w:t xml:space="preserve"> 05</w:t>
      </w:r>
    </w:p>
    <w:p w14:paraId="59C6E4CE">
      <w:pPr>
        <w:spacing w:line="14" w:lineRule="auto"/>
        <w:rPr>
          <w:sz w:val="2"/>
        </w:rPr>
      </w:pPr>
      <w:r>
        <w:rPr>
          <w:sz w:val="2"/>
          <w:szCs w:val="2"/>
        </w:rPr>
        <w:br w:type="column"/>
      </w:r>
    </w:p>
    <w:p w14:paraId="3E44A46D">
      <w:pPr>
        <w:spacing w:line="358" w:lineRule="auto"/>
        <w:rPr>
          <w:rFonts w:ascii="宋体" w:hAnsi="宋体" w:eastAsia="宋体" w:cs="宋体"/>
          <w:b/>
          <w:bCs/>
          <w:spacing w:val="-2"/>
          <w:sz w:val="28"/>
          <w:szCs w:val="28"/>
        </w:rPr>
      </w:pPr>
      <w:r>
        <w:rPr>
          <w:rFonts w:ascii="宋体" w:hAnsi="宋体" w:eastAsia="宋体" w:cs="宋体"/>
          <w:b/>
          <w:bCs/>
          <w:spacing w:val="-2"/>
          <w:sz w:val="28"/>
          <w:szCs w:val="28"/>
        </w:rPr>
        <w:t xml:space="preserve">T/ SDACM </w:t>
      </w:r>
    </w:p>
    <w:p w14:paraId="6A64D185">
      <w:pPr>
        <w:spacing w:line="358" w:lineRule="auto"/>
      </w:pPr>
    </w:p>
    <w:p w14:paraId="38C6D90C">
      <w:pPr>
        <w:spacing w:line="1890" w:lineRule="exact"/>
        <w:ind w:firstLine="454"/>
      </w:pPr>
      <w:r>
        <w:rPr>
          <w:position w:val="-37"/>
        </w:rPr>
        <w:drawing>
          <wp:inline distT="0" distB="0" distL="0" distR="0">
            <wp:extent cx="1276350" cy="1200150"/>
            <wp:effectExtent l="0" t="0" r="3810" b="381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1276350" cy="1200150"/>
                    </a:xfrm>
                    <a:prstGeom prst="rect">
                      <a:avLst/>
                    </a:prstGeom>
                  </pic:spPr>
                </pic:pic>
              </a:graphicData>
            </a:graphic>
          </wp:inline>
        </w:drawing>
      </w:r>
    </w:p>
    <w:p w14:paraId="3F817342">
      <w:pPr>
        <w:spacing w:line="1890" w:lineRule="exact"/>
        <w:sectPr>
          <w:pgSz w:w="11907" w:h="16839"/>
          <w:pgMar w:top="1279" w:right="876" w:bottom="0" w:left="984" w:header="0" w:footer="0" w:gutter="0"/>
          <w:cols w:equalWidth="0" w:num="2">
            <w:col w:w="7112" w:space="100"/>
            <w:col w:w="2835"/>
          </w:cols>
        </w:sectPr>
      </w:pPr>
    </w:p>
    <w:p w14:paraId="642F72E8">
      <w:pPr>
        <w:spacing w:before="175" w:line="220" w:lineRule="auto"/>
        <w:ind w:left="3357"/>
        <w:outlineLvl w:val="0"/>
        <w:rPr>
          <w:rFonts w:ascii="宋体" w:hAnsi="宋体" w:eastAsia="宋体" w:cs="宋体"/>
          <w:sz w:val="72"/>
          <w:szCs w:val="72"/>
        </w:rPr>
      </w:pPr>
      <w:bookmarkStart w:id="0" w:name="_Toc2055"/>
      <w:bookmarkStart w:id="1" w:name="_Toc3548"/>
      <w:bookmarkStart w:id="2" w:name="_Toc6439"/>
      <w:bookmarkStart w:id="3" w:name="_Toc18072"/>
      <w:r>
        <w:rPr>
          <w:rFonts w:ascii="宋体" w:hAnsi="宋体" w:eastAsia="宋体" w:cs="宋体"/>
          <w:b/>
          <w:bCs/>
          <w:spacing w:val="-46"/>
          <w:sz w:val="72"/>
          <w:szCs w:val="72"/>
        </w:rPr>
        <w:t>团</w:t>
      </w:r>
      <w:r>
        <w:rPr>
          <w:rFonts w:ascii="宋体" w:hAnsi="宋体" w:eastAsia="宋体" w:cs="宋体"/>
          <w:spacing w:val="33"/>
          <w:sz w:val="72"/>
          <w:szCs w:val="72"/>
        </w:rPr>
        <w:t xml:space="preserve"> </w:t>
      </w:r>
      <w:r>
        <w:rPr>
          <w:rFonts w:ascii="宋体" w:hAnsi="宋体" w:eastAsia="宋体" w:cs="宋体"/>
          <w:b/>
          <w:bCs/>
          <w:spacing w:val="-46"/>
          <w:sz w:val="72"/>
          <w:szCs w:val="72"/>
        </w:rPr>
        <w:t>体</w:t>
      </w:r>
      <w:r>
        <w:rPr>
          <w:rFonts w:ascii="宋体" w:hAnsi="宋体" w:eastAsia="宋体" w:cs="宋体"/>
          <w:spacing w:val="36"/>
          <w:sz w:val="72"/>
          <w:szCs w:val="72"/>
        </w:rPr>
        <w:t xml:space="preserve"> </w:t>
      </w:r>
      <w:r>
        <w:rPr>
          <w:rFonts w:ascii="宋体" w:hAnsi="宋体" w:eastAsia="宋体" w:cs="宋体"/>
          <w:b/>
          <w:bCs/>
          <w:spacing w:val="-46"/>
          <w:sz w:val="72"/>
          <w:szCs w:val="72"/>
        </w:rPr>
        <w:t>标</w:t>
      </w:r>
      <w:r>
        <w:rPr>
          <w:rFonts w:ascii="宋体" w:hAnsi="宋体" w:eastAsia="宋体" w:cs="宋体"/>
          <w:spacing w:val="39"/>
          <w:sz w:val="72"/>
          <w:szCs w:val="72"/>
        </w:rPr>
        <w:t xml:space="preserve"> </w:t>
      </w:r>
      <w:r>
        <w:rPr>
          <w:rFonts w:ascii="宋体" w:hAnsi="宋体" w:eastAsia="宋体" w:cs="宋体"/>
          <w:b/>
          <w:bCs/>
          <w:spacing w:val="-46"/>
          <w:sz w:val="72"/>
          <w:szCs w:val="72"/>
        </w:rPr>
        <w:t>准</w:t>
      </w:r>
      <w:bookmarkEnd w:id="0"/>
      <w:bookmarkEnd w:id="1"/>
      <w:bookmarkEnd w:id="2"/>
      <w:bookmarkEnd w:id="3"/>
    </w:p>
    <w:p w14:paraId="0B581683">
      <w:pPr>
        <w:spacing w:line="307" w:lineRule="auto"/>
      </w:pPr>
    </w:p>
    <w:p w14:paraId="4D64461A">
      <w:pPr>
        <w:spacing w:line="307" w:lineRule="auto"/>
      </w:pPr>
    </w:p>
    <w:p w14:paraId="1AE23B39">
      <w:pPr>
        <w:spacing w:before="60" w:line="191" w:lineRule="auto"/>
        <w:ind w:left="7476"/>
        <w:rPr>
          <w:rFonts w:ascii="Times New Roman" w:hAnsi="Times New Roman" w:eastAsia="Times New Roman" w:cs="Times New Roman"/>
          <w:lang w:eastAsia="zh-CN"/>
        </w:rPr>
      </w:pPr>
      <w:r>
        <w:rPr>
          <w:rFonts w:ascii="Times New Roman" w:hAnsi="Times New Roman" w:eastAsia="Times New Roman" w:cs="Times New Roman"/>
          <w:spacing w:val="-1"/>
        </w:rPr>
        <w:t xml:space="preserve">T/SDACM </w:t>
      </w:r>
    </w:p>
    <w:p w14:paraId="7406C322">
      <w:pPr>
        <w:spacing w:before="65" w:line="30" w:lineRule="exact"/>
        <w:ind w:firstLine="135"/>
      </w:pPr>
      <w:r>
        <mc:AlternateContent>
          <mc:Choice Requires="wps">
            <w:drawing>
              <wp:inline distT="0" distB="0" distL="114300" distR="114300">
                <wp:extent cx="6293485" cy="19050"/>
                <wp:effectExtent l="0" t="0" r="0" b="0"/>
                <wp:docPr id="3" name="任意多边形 3"/>
                <wp:cNvGraphicFramePr/>
                <a:graphic xmlns:a="http://schemas.openxmlformats.org/drawingml/2006/main">
                  <a:graphicData uri="http://schemas.microsoft.com/office/word/2010/wordprocessingShape">
                    <wps:wsp>
                      <wps:cNvSpPr/>
                      <wps:spPr>
                        <a:xfrm>
                          <a:off x="0" y="0"/>
                          <a:ext cx="6293485" cy="19050"/>
                        </a:xfrm>
                        <a:custGeom>
                          <a:avLst/>
                          <a:gdLst/>
                          <a:ahLst/>
                          <a:cxnLst/>
                          <a:rect l="0" t="0" r="0" b="0"/>
                          <a:pathLst>
                            <a:path w="9910" h="30">
                              <a:moveTo>
                                <a:pt x="0" y="10"/>
                              </a:moveTo>
                              <a:lnTo>
                                <a:pt x="9910" y="20"/>
                              </a:lnTo>
                            </a:path>
                          </a:pathLst>
                        </a:custGeom>
                        <a:noFill/>
                        <a:ln w="12700" cap="flat" cmpd="sng">
                          <a:solidFill>
                            <a:srgbClr val="000000"/>
                          </a:solidFill>
                          <a:prstDash val="solid"/>
                          <a:headEnd type="none" w="med" len="med"/>
                          <a:tailEnd type="none" w="med" len="med"/>
                        </a:ln>
                      </wps:spPr>
                      <wps:bodyPr upright="1"/>
                    </wps:wsp>
                  </a:graphicData>
                </a:graphic>
              </wp:inline>
            </w:drawing>
          </mc:Choice>
          <mc:Fallback>
            <w:pict>
              <v:shape id="_x0000_s1026" o:spid="_x0000_s1026" o:spt="100" style="height:1.5pt;width:495.55pt;" filled="f" stroked="t" coordsize="9910,30" o:gfxdata="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qX6+3UAAAAAwEAAA8AAAAAAAAAAQAgAAAAIgAAAGRycy9k&#10;b3ducmV2LnhtbFBLAQIUABQAAAAIAIdO4kCenSUTPwIAALEEAAAOAAAAAAAAAAEAIAAAACMBAABk&#10;cnMvZTJvRG9jLnhtbFBLBQYAAAAABgAGAFkBAADUBQAAAAA=&#10;" path="m0,10l9910,20e">
                <v:fill on="f" focussize="0,0"/>
                <v:stroke weight="1pt" color="#000000" joinstyle="round"/>
                <v:imagedata o:title=""/>
                <o:lock v:ext="edit" aspectratio="f"/>
                <w10:wrap type="none"/>
                <w10:anchorlock/>
              </v:shape>
            </w:pict>
          </mc:Fallback>
        </mc:AlternateContent>
      </w:r>
    </w:p>
    <w:p w14:paraId="4278EFDB">
      <w:pPr>
        <w:spacing w:line="316" w:lineRule="auto"/>
      </w:pPr>
    </w:p>
    <w:p w14:paraId="34966BD1">
      <w:pPr>
        <w:spacing w:line="317" w:lineRule="auto"/>
      </w:pPr>
    </w:p>
    <w:p w14:paraId="09B300CE">
      <w:pPr>
        <w:spacing w:before="11"/>
        <w:jc w:val="center"/>
        <w:rPr>
          <w:rFonts w:ascii="黑体" w:hAnsi="黑体" w:eastAsia="黑体" w:cs="黑体"/>
          <w:sz w:val="44"/>
          <w:szCs w:val="44"/>
          <w:lang w:eastAsia="zh-CN"/>
        </w:rPr>
      </w:pPr>
      <w:r>
        <w:rPr>
          <w:rFonts w:hint="eastAsia" w:ascii="黑体" w:hAnsi="黑体" w:eastAsia="黑体" w:cs="黑体"/>
          <w:spacing w:val="59"/>
          <w:w w:val="125"/>
          <w:sz w:val="44"/>
          <w:szCs w:val="44"/>
          <w:lang w:eastAsia="zh-CN"/>
        </w:rPr>
        <w:t>难治性高血压中西医结合诊疗专家共识</w:t>
      </w:r>
    </w:p>
    <w:p w14:paraId="33328414">
      <w:pPr>
        <w:spacing w:before="2"/>
        <w:jc w:val="center"/>
      </w:pPr>
      <w:r>
        <w:rPr>
          <w:rFonts w:hint="eastAsia" w:ascii="Times New Roman" w:hAnsi="Times New Roman" w:eastAsia="Times New Roman" w:cs="Times New Roman"/>
          <w:sz w:val="28"/>
          <w:szCs w:val="28"/>
          <w:lang w:eastAsia="zh-CN"/>
        </w:rPr>
        <w:t>Expert Consensus for the Integrated Traditional Chinese and Western Medicine Diagnosis and Treatment of Resistant Hypertension</w:t>
      </w:r>
    </w:p>
    <w:p w14:paraId="3401B14F">
      <w:pPr>
        <w:spacing w:before="2"/>
      </w:pPr>
    </w:p>
    <w:p w14:paraId="3FFBE676">
      <w:pPr>
        <w:spacing w:before="1"/>
      </w:pPr>
    </w:p>
    <w:p w14:paraId="3DC510A3">
      <w:pPr>
        <w:spacing w:before="1"/>
        <w:jc w:val="center"/>
        <w:rPr>
          <w:rFonts w:eastAsia="宋体"/>
          <w:lang w:eastAsia="zh-CN"/>
        </w:rPr>
      </w:pPr>
      <w:r>
        <w:rPr>
          <w:rFonts w:hint="eastAsia" w:eastAsia="宋体"/>
          <w:lang w:eastAsia="zh-CN"/>
        </w:rPr>
        <w:t>发布稿</w:t>
      </w:r>
    </w:p>
    <w:p w14:paraId="4C1C19E7">
      <w:pPr>
        <w:spacing w:before="1"/>
        <w:rPr>
          <w:lang w:eastAsia="zh-CN"/>
        </w:rPr>
      </w:pPr>
    </w:p>
    <w:p w14:paraId="6D1A80D7">
      <w:pPr>
        <w:spacing w:before="1"/>
        <w:rPr>
          <w:lang w:eastAsia="zh-CN"/>
        </w:rPr>
      </w:pPr>
    </w:p>
    <w:p w14:paraId="2CCDB4B6">
      <w:pPr>
        <w:spacing w:before="1"/>
        <w:rPr>
          <w:lang w:eastAsia="zh-CN"/>
        </w:rPr>
      </w:pPr>
    </w:p>
    <w:p w14:paraId="6A9A86A7">
      <w:pPr>
        <w:spacing w:before="1"/>
        <w:rPr>
          <w:lang w:eastAsia="zh-CN"/>
        </w:rPr>
      </w:pPr>
    </w:p>
    <w:p w14:paraId="452C9B05">
      <w:pPr>
        <w:spacing w:before="1"/>
        <w:rPr>
          <w:lang w:eastAsia="zh-CN"/>
        </w:rPr>
      </w:pPr>
    </w:p>
    <w:p w14:paraId="5B43ED4D">
      <w:pPr>
        <w:spacing w:before="1"/>
        <w:rPr>
          <w:lang w:eastAsia="zh-CN"/>
        </w:rPr>
      </w:pPr>
    </w:p>
    <w:p w14:paraId="57F37EAF">
      <w:pPr>
        <w:spacing w:before="1"/>
        <w:rPr>
          <w:lang w:eastAsia="zh-CN"/>
        </w:rPr>
      </w:pPr>
    </w:p>
    <w:p w14:paraId="334FE601">
      <w:pPr>
        <w:spacing w:before="1"/>
        <w:rPr>
          <w:lang w:eastAsia="zh-CN"/>
        </w:rPr>
      </w:pPr>
    </w:p>
    <w:p w14:paraId="1B377375">
      <w:pPr>
        <w:spacing w:before="1"/>
        <w:rPr>
          <w:lang w:eastAsia="zh-CN"/>
        </w:rPr>
      </w:pPr>
    </w:p>
    <w:p w14:paraId="395500BC">
      <w:pPr>
        <w:spacing w:before="1"/>
        <w:rPr>
          <w:lang w:eastAsia="zh-CN"/>
        </w:rPr>
      </w:pPr>
    </w:p>
    <w:p w14:paraId="0D09ECBD">
      <w:pPr>
        <w:spacing w:before="1"/>
        <w:rPr>
          <w:lang w:eastAsia="zh-CN"/>
        </w:rPr>
      </w:pPr>
    </w:p>
    <w:p w14:paraId="50CBCA3A">
      <w:pPr>
        <w:spacing w:before="1"/>
        <w:rPr>
          <w:lang w:eastAsia="zh-CN"/>
        </w:rPr>
      </w:pPr>
    </w:p>
    <w:p w14:paraId="3519FC6C">
      <w:pPr>
        <w:spacing w:before="1"/>
        <w:rPr>
          <w:lang w:eastAsia="zh-CN"/>
        </w:rPr>
      </w:pPr>
    </w:p>
    <w:p w14:paraId="40F57D8C">
      <w:pPr>
        <w:spacing w:before="1"/>
        <w:rPr>
          <w:lang w:eastAsia="zh-CN"/>
        </w:rPr>
      </w:pPr>
    </w:p>
    <w:p w14:paraId="24DE342F">
      <w:pPr>
        <w:rPr>
          <w:lang w:eastAsia="zh-CN"/>
        </w:rPr>
        <w:sectPr>
          <w:footerReference r:id="rId3" w:type="default"/>
          <w:type w:val="continuous"/>
          <w:pgSz w:w="11907" w:h="16839"/>
          <w:pgMar w:top="1279" w:right="876" w:bottom="0" w:left="984" w:header="0" w:footer="0" w:gutter="0"/>
          <w:cols w:equalWidth="0" w:num="1">
            <w:col w:w="10047"/>
          </w:cols>
        </w:sectPr>
      </w:pPr>
    </w:p>
    <w:p w14:paraId="7B84BE1F">
      <w:pPr>
        <w:pStyle w:val="5"/>
        <w:spacing w:before="56" w:line="185" w:lineRule="auto"/>
        <w:ind w:left="6"/>
        <w:rPr>
          <w:spacing w:val="1"/>
          <w:lang w:eastAsia="zh-CN"/>
        </w:rPr>
      </w:pPr>
    </w:p>
    <w:p w14:paraId="2E7E9D4E">
      <w:pPr>
        <w:pStyle w:val="5"/>
        <w:spacing w:before="56" w:line="185" w:lineRule="auto"/>
        <w:ind w:left="6"/>
        <w:rPr>
          <w:spacing w:val="1"/>
          <w:lang w:eastAsia="zh-CN"/>
        </w:rPr>
      </w:pPr>
      <w:r>
        <w:rPr>
          <w:spacing w:val="1"/>
          <w:lang w:eastAsia="zh-CN"/>
        </w:rPr>
        <w:t>202</w:t>
      </w:r>
      <w:r>
        <w:rPr>
          <w:rFonts w:hint="eastAsia"/>
          <w:spacing w:val="1"/>
          <w:lang w:eastAsia="zh-CN"/>
        </w:rPr>
        <w:t>5</w:t>
      </w:r>
      <w:r>
        <w:rPr>
          <w:spacing w:val="1"/>
          <w:lang w:eastAsia="zh-CN"/>
        </w:rPr>
        <w:t>年</w:t>
      </w:r>
      <w:r>
        <w:rPr>
          <w:rFonts w:hint="eastAsia"/>
          <w:spacing w:val="1"/>
          <w:lang w:eastAsia="zh-CN"/>
        </w:rPr>
        <w:t>05</w:t>
      </w:r>
      <w:r>
        <w:rPr>
          <w:spacing w:val="1"/>
          <w:lang w:eastAsia="zh-CN"/>
        </w:rPr>
        <w:t>月发布</w:t>
      </w:r>
    </w:p>
    <w:p w14:paraId="4A657E7F">
      <w:pPr>
        <w:spacing w:line="14" w:lineRule="auto"/>
        <w:rPr>
          <w:rFonts w:ascii="黑体" w:hAnsi="黑体" w:eastAsia="黑体" w:cs="黑体"/>
          <w:spacing w:val="1"/>
          <w:sz w:val="31"/>
          <w:szCs w:val="31"/>
          <w:lang w:eastAsia="zh-CN"/>
        </w:rPr>
      </w:pPr>
      <w:r>
        <w:rPr>
          <w:rFonts w:ascii="黑体" w:hAnsi="黑体" w:eastAsia="黑体" w:cs="黑体"/>
          <w:spacing w:val="1"/>
          <w:sz w:val="31"/>
          <w:szCs w:val="31"/>
          <w:lang w:eastAsia="zh-CN"/>
        </w:rPr>
        <w:br w:type="column"/>
      </w:r>
    </w:p>
    <w:p w14:paraId="32B29AB7">
      <w:pPr>
        <w:pStyle w:val="5"/>
        <w:spacing w:before="56" w:line="185" w:lineRule="auto"/>
        <w:ind w:left="6"/>
        <w:rPr>
          <w:spacing w:val="1"/>
          <w:lang w:eastAsia="zh-CN"/>
        </w:rPr>
      </w:pPr>
    </w:p>
    <w:p w14:paraId="08E62A63">
      <w:pPr>
        <w:pStyle w:val="5"/>
        <w:spacing w:before="56" w:line="185" w:lineRule="auto"/>
        <w:ind w:left="6"/>
        <w:rPr>
          <w:spacing w:val="1"/>
          <w:lang w:eastAsia="zh-CN"/>
        </w:rPr>
        <w:sectPr>
          <w:type w:val="continuous"/>
          <w:pgSz w:w="11907" w:h="16839"/>
          <w:pgMar w:top="1279" w:right="876" w:bottom="0" w:left="984" w:header="0" w:footer="0" w:gutter="0"/>
          <w:cols w:equalWidth="0" w:num="2">
            <w:col w:w="7264" w:space="100"/>
            <w:col w:w="2683"/>
          </w:cols>
        </w:sectPr>
      </w:pPr>
      <w:r>
        <w:rPr>
          <w:spacing w:val="1"/>
          <w:lang w:eastAsia="zh-CN"/>
        </w:rPr>
        <w:t>202</w:t>
      </w:r>
      <w:r>
        <w:rPr>
          <w:rFonts w:hint="eastAsia"/>
          <w:spacing w:val="1"/>
          <w:lang w:eastAsia="zh-CN"/>
        </w:rPr>
        <w:t>5</w:t>
      </w:r>
      <w:r>
        <w:rPr>
          <w:spacing w:val="1"/>
          <w:lang w:eastAsia="zh-CN"/>
        </w:rPr>
        <w:t>年</w:t>
      </w:r>
      <w:r>
        <w:rPr>
          <w:rFonts w:hint="eastAsia"/>
          <w:spacing w:val="1"/>
          <w:lang w:eastAsia="zh-CN"/>
        </w:rPr>
        <w:t>05</w:t>
      </w:r>
      <w:r>
        <w:rPr>
          <w:spacing w:val="1"/>
          <w:lang w:eastAsia="zh-CN"/>
        </w:rPr>
        <w:t>月</w:t>
      </w:r>
      <w:r>
        <w:rPr>
          <w:rFonts w:hint="eastAsia"/>
          <w:spacing w:val="1"/>
          <w:lang w:eastAsia="zh-CN"/>
        </w:rPr>
        <w:t>实施</w:t>
      </w:r>
    </w:p>
    <w:p w14:paraId="00F4CB85">
      <w:pPr>
        <w:spacing w:line="294" w:lineRule="auto"/>
        <w:rPr>
          <w:lang w:eastAsia="zh-CN"/>
        </w:rPr>
      </w:pPr>
    </w:p>
    <w:p w14:paraId="4A305F98">
      <w:pPr>
        <w:spacing w:line="295" w:lineRule="auto"/>
        <w:rPr>
          <w:lang w:eastAsia="zh-CN"/>
        </w:rPr>
      </w:pPr>
    </w:p>
    <w:p w14:paraId="3CD01F7D">
      <w:pPr>
        <w:pStyle w:val="5"/>
        <w:spacing w:before="101" w:line="190" w:lineRule="auto"/>
        <w:jc w:val="center"/>
        <w:rPr>
          <w:rFonts w:ascii="宋体" w:hAnsi="宋体" w:eastAsia="宋体"/>
          <w:lang w:eastAsia="zh-CN"/>
        </w:rPr>
        <w:sectPr>
          <w:type w:val="continuous"/>
          <w:pgSz w:w="11907" w:h="16839"/>
          <w:pgMar w:top="1279" w:right="876" w:bottom="0" w:left="984" w:header="0" w:footer="0" w:gutter="0"/>
          <w:cols w:equalWidth="0" w:num="1">
            <w:col w:w="10047"/>
          </w:cols>
        </w:sectPr>
      </w:pPr>
      <w:r>
        <w:rPr>
          <w:rFonts w:hint="eastAsia" w:ascii="宋体" w:hAnsi="宋体" w:eastAsia="宋体"/>
          <w:b/>
          <w:bCs/>
          <w:spacing w:val="29"/>
          <w:kern w:val="0"/>
          <w:fitText w:val="2528" w:id="-975330048"/>
          <w:lang w:eastAsia="zh-CN"/>
        </w:rPr>
        <w:t>山东中医药学</w:t>
      </w:r>
      <w:r>
        <w:rPr>
          <w:rFonts w:hint="eastAsia" w:ascii="宋体" w:hAnsi="宋体" w:eastAsia="宋体"/>
          <w:b/>
          <w:bCs/>
          <w:spacing w:val="5"/>
          <w:kern w:val="0"/>
          <w:fitText w:val="2528" w:id="-975330048"/>
          <w:lang w:eastAsia="zh-CN"/>
        </w:rPr>
        <w:t>会</w:t>
      </w:r>
      <w:r>
        <w:rPr>
          <w:rFonts w:hint="eastAsia" w:ascii="宋体" w:hAnsi="宋体" w:eastAsia="宋体"/>
          <w:spacing w:val="-13"/>
          <w:sz w:val="24"/>
          <w:szCs w:val="24"/>
          <w:lang w:eastAsia="zh-CN"/>
        </w:rPr>
        <w:t>发布</w:t>
      </w:r>
    </w:p>
    <w:p w14:paraId="1754D87A">
      <w:pPr>
        <w:spacing w:line="244" w:lineRule="auto"/>
        <w:rPr>
          <w:lang w:eastAsia="zh-CN"/>
        </w:rPr>
      </w:pPr>
    </w:p>
    <w:p w14:paraId="2D018089">
      <w:pPr>
        <w:pStyle w:val="5"/>
        <w:spacing w:before="162" w:line="228" w:lineRule="auto"/>
        <w:ind w:left="3896"/>
        <w:rPr>
          <w:lang w:eastAsia="zh-CN"/>
        </w:rPr>
      </w:pPr>
      <w:r>
        <w:rPr>
          <w:spacing w:val="-16"/>
          <w:lang w:eastAsia="zh-CN"/>
          <w14:textOutline w14:w="5791" w14:cap="sq" w14:cmpd="sng" w14:algn="ctr">
            <w14:solidFill>
              <w14:srgbClr w14:val="000000"/>
            </w14:solidFill>
            <w14:prstDash w14:val="solid"/>
            <w14:bevel/>
          </w14:textOutline>
        </w:rPr>
        <w:t>目</w:t>
      </w:r>
      <w:r>
        <w:rPr>
          <w:rFonts w:hint="eastAsia"/>
          <w:spacing w:val="-16"/>
          <w:lang w:eastAsia="zh-CN"/>
          <w14:textOutline w14:w="5791" w14:cap="sq" w14:cmpd="sng" w14:algn="ctr">
            <w14:solidFill>
              <w14:srgbClr w14:val="000000"/>
            </w14:solidFill>
            <w14:prstDash w14:val="solid"/>
            <w14:bevel/>
          </w14:textOutline>
        </w:rPr>
        <w:t>录</w:t>
      </w:r>
    </w:p>
    <w:p w14:paraId="2DACD4CC">
      <w:pPr>
        <w:rPr>
          <w:lang w:eastAsia="zh-CN"/>
        </w:rPr>
      </w:pPr>
    </w:p>
    <w:sdt>
      <w:sdtPr>
        <w:rPr>
          <w:rFonts w:ascii="宋体" w:hAnsi="宋体" w:eastAsia="宋体" w:cs="宋体"/>
          <w:sz w:val="20"/>
          <w:szCs w:val="20"/>
        </w:rPr>
        <w:id w:val="1"/>
        <w:docPartObj>
          <w:docPartGallery w:val="Table of Contents"/>
          <w:docPartUnique/>
        </w:docPartObj>
      </w:sdtPr>
      <w:sdtEndPr>
        <w:rPr>
          <w:rFonts w:ascii="宋体" w:hAnsi="宋体" w:eastAsia="宋体" w:cs="Times New Roman"/>
          <w:sz w:val="24"/>
          <w:szCs w:val="24"/>
        </w:rPr>
      </w:sdtEndPr>
      <w:sdtContent>
        <w:p w14:paraId="5A6C6575">
          <w:pPr>
            <w:tabs>
              <w:tab w:val="right" w:leader="dot" w:pos="8310"/>
            </w:tabs>
            <w:spacing w:before="65" w:line="360" w:lineRule="auto"/>
            <w:ind w:left="25"/>
            <w:rPr>
              <w:rFonts w:ascii="宋体" w:hAnsi="宋体" w:eastAsia="宋体" w:cs="宋体"/>
              <w:sz w:val="20"/>
              <w:szCs w:val="20"/>
            </w:rPr>
          </w:pPr>
        </w:p>
        <w:p w14:paraId="0B7D210F">
          <w:pPr>
            <w:pStyle w:val="8"/>
            <w:tabs>
              <w:tab w:val="right" w:leader="dot" w:pos="8390"/>
            </w:tabs>
            <w:spacing w:line="360" w:lineRule="auto"/>
            <w:rPr>
              <w:rFonts w:ascii="宋体" w:hAnsi="宋体" w:eastAsia="宋体"/>
              <w:b/>
              <w:bCs/>
              <w:szCs w:val="24"/>
              <w:lang w:eastAsia="zh-CN"/>
            </w:rPr>
          </w:pPr>
          <w:r>
            <w:rPr>
              <w:rFonts w:ascii="宋体" w:hAnsi="宋体" w:eastAsia="宋体"/>
              <w:sz w:val="24"/>
              <w:szCs w:val="24"/>
            </w:rPr>
            <w:fldChar w:fldCharType="begin"/>
          </w:r>
          <w:r>
            <w:rPr>
              <w:rFonts w:ascii="宋体" w:hAnsi="宋体" w:eastAsia="宋体"/>
              <w:sz w:val="24"/>
              <w:szCs w:val="24"/>
            </w:rPr>
            <w:instrText xml:space="preserve">TOC \o "1-1" \h \u </w:instrText>
          </w:r>
          <w:r>
            <w:rPr>
              <w:rFonts w:ascii="宋体" w:hAnsi="宋体" w:eastAsia="宋体"/>
              <w:sz w:val="24"/>
              <w:szCs w:val="24"/>
            </w:rPr>
            <w:fldChar w:fldCharType="separate"/>
          </w:r>
          <w:r>
            <w:fldChar w:fldCharType="begin"/>
          </w:r>
          <w:r>
            <w:instrText xml:space="preserve"> HYPERLINK \l "_Toc19324" </w:instrText>
          </w:r>
          <w:r>
            <w:fldChar w:fldCharType="separate"/>
          </w:r>
          <w:r>
            <w:rPr>
              <w:rFonts w:hint="eastAsia" w:ascii="宋体" w:hAnsi="宋体" w:eastAsia="宋体"/>
              <w:b/>
              <w:bCs/>
              <w:szCs w:val="24"/>
              <w:lang w:eastAsia="zh-CN"/>
            </w:rPr>
            <w:t>前  言</w:t>
          </w:r>
          <w:r>
            <w:rPr>
              <w:rFonts w:hint="eastAsia" w:ascii="宋体" w:hAnsi="宋体" w:eastAsia="宋体"/>
              <w:b/>
              <w:bCs/>
              <w:szCs w:val="24"/>
              <w:lang w:eastAsia="zh-CN"/>
            </w:rPr>
            <w:tab/>
          </w:r>
          <w:r>
            <w:rPr>
              <w:rFonts w:hint="eastAsia" w:ascii="宋体" w:hAnsi="宋体" w:eastAsia="宋体"/>
              <w:b/>
              <w:bCs/>
              <w:szCs w:val="24"/>
              <w:lang w:eastAsia="zh-CN"/>
            </w:rPr>
            <w:fldChar w:fldCharType="begin"/>
          </w:r>
          <w:r>
            <w:rPr>
              <w:rFonts w:hint="eastAsia" w:ascii="宋体" w:hAnsi="宋体" w:eastAsia="宋体"/>
              <w:b/>
              <w:bCs/>
              <w:szCs w:val="24"/>
              <w:lang w:eastAsia="zh-CN"/>
            </w:rPr>
            <w:instrText xml:space="preserve"> PAGEREF _Toc19324 \h </w:instrText>
          </w:r>
          <w:r>
            <w:rPr>
              <w:rFonts w:hint="eastAsia" w:ascii="宋体" w:hAnsi="宋体" w:eastAsia="宋体"/>
              <w:b/>
              <w:bCs/>
              <w:szCs w:val="24"/>
              <w:lang w:eastAsia="zh-CN"/>
            </w:rPr>
            <w:fldChar w:fldCharType="separate"/>
          </w:r>
          <w:r>
            <w:rPr>
              <w:rFonts w:hint="eastAsia" w:ascii="宋体" w:hAnsi="宋体" w:eastAsia="宋体"/>
              <w:b/>
              <w:bCs/>
              <w:szCs w:val="24"/>
              <w:lang w:eastAsia="zh-CN"/>
            </w:rPr>
            <w:t>2</w:t>
          </w:r>
          <w:r>
            <w:rPr>
              <w:rFonts w:hint="eastAsia" w:ascii="宋体" w:hAnsi="宋体" w:eastAsia="宋体"/>
              <w:b/>
              <w:bCs/>
              <w:szCs w:val="24"/>
              <w:lang w:eastAsia="zh-CN"/>
            </w:rPr>
            <w:fldChar w:fldCharType="end"/>
          </w:r>
          <w:r>
            <w:rPr>
              <w:rFonts w:hint="eastAsia" w:ascii="宋体" w:hAnsi="宋体" w:eastAsia="宋体"/>
              <w:b/>
              <w:bCs/>
              <w:szCs w:val="24"/>
              <w:lang w:eastAsia="zh-CN"/>
            </w:rPr>
            <w:fldChar w:fldCharType="end"/>
          </w:r>
        </w:p>
        <w:p w14:paraId="2D4E66F6">
          <w:pPr>
            <w:pStyle w:val="8"/>
            <w:tabs>
              <w:tab w:val="right" w:leader="dot" w:pos="8390"/>
            </w:tabs>
            <w:spacing w:line="360" w:lineRule="auto"/>
            <w:rPr>
              <w:rFonts w:ascii="宋体" w:hAnsi="宋体" w:eastAsia="宋体"/>
              <w:b/>
              <w:bCs/>
              <w:szCs w:val="24"/>
              <w:lang w:eastAsia="zh-CN"/>
            </w:rPr>
          </w:pPr>
          <w:r>
            <w:fldChar w:fldCharType="begin"/>
          </w:r>
          <w:r>
            <w:instrText xml:space="preserve"> HYPERLINK \l "_Toc26956" </w:instrText>
          </w:r>
          <w:r>
            <w:fldChar w:fldCharType="separate"/>
          </w:r>
          <w:r>
            <w:rPr>
              <w:rFonts w:hint="eastAsia" w:ascii="宋体" w:hAnsi="宋体" w:eastAsia="宋体"/>
              <w:b/>
              <w:bCs/>
              <w:szCs w:val="24"/>
              <w:lang w:eastAsia="zh-CN"/>
            </w:rPr>
            <w:t>1 范围</w:t>
          </w:r>
          <w:r>
            <w:rPr>
              <w:rFonts w:hint="eastAsia" w:ascii="宋体" w:hAnsi="宋体" w:eastAsia="宋体"/>
              <w:b/>
              <w:bCs/>
              <w:szCs w:val="24"/>
              <w:lang w:eastAsia="zh-CN"/>
            </w:rPr>
            <w:tab/>
          </w:r>
          <w:r>
            <w:rPr>
              <w:rFonts w:hint="eastAsia" w:ascii="宋体" w:hAnsi="宋体" w:eastAsia="宋体"/>
              <w:b/>
              <w:bCs/>
              <w:szCs w:val="24"/>
              <w:lang w:eastAsia="zh-CN"/>
            </w:rPr>
            <w:fldChar w:fldCharType="begin"/>
          </w:r>
          <w:r>
            <w:rPr>
              <w:rFonts w:hint="eastAsia" w:ascii="宋体" w:hAnsi="宋体" w:eastAsia="宋体"/>
              <w:b/>
              <w:bCs/>
              <w:szCs w:val="24"/>
              <w:lang w:eastAsia="zh-CN"/>
            </w:rPr>
            <w:instrText xml:space="preserve"> PAGEREF _Toc26956 \h </w:instrText>
          </w:r>
          <w:r>
            <w:rPr>
              <w:rFonts w:hint="eastAsia" w:ascii="宋体" w:hAnsi="宋体" w:eastAsia="宋体"/>
              <w:b/>
              <w:bCs/>
              <w:szCs w:val="24"/>
              <w:lang w:eastAsia="zh-CN"/>
            </w:rPr>
            <w:fldChar w:fldCharType="separate"/>
          </w:r>
          <w:r>
            <w:rPr>
              <w:rFonts w:hint="eastAsia" w:ascii="宋体" w:hAnsi="宋体" w:eastAsia="宋体"/>
              <w:b/>
              <w:bCs/>
              <w:szCs w:val="24"/>
              <w:lang w:eastAsia="zh-CN"/>
            </w:rPr>
            <w:t>4</w:t>
          </w:r>
          <w:r>
            <w:rPr>
              <w:rFonts w:hint="eastAsia" w:ascii="宋体" w:hAnsi="宋体" w:eastAsia="宋体"/>
              <w:b/>
              <w:bCs/>
              <w:szCs w:val="24"/>
              <w:lang w:eastAsia="zh-CN"/>
            </w:rPr>
            <w:fldChar w:fldCharType="end"/>
          </w:r>
          <w:r>
            <w:rPr>
              <w:rFonts w:hint="eastAsia" w:ascii="宋体" w:hAnsi="宋体" w:eastAsia="宋体"/>
              <w:b/>
              <w:bCs/>
              <w:szCs w:val="24"/>
              <w:lang w:eastAsia="zh-CN"/>
            </w:rPr>
            <w:fldChar w:fldCharType="end"/>
          </w:r>
        </w:p>
        <w:p w14:paraId="33D0B16D">
          <w:pPr>
            <w:pStyle w:val="8"/>
            <w:tabs>
              <w:tab w:val="right" w:leader="dot" w:pos="8390"/>
            </w:tabs>
            <w:spacing w:line="360" w:lineRule="auto"/>
            <w:rPr>
              <w:rFonts w:ascii="宋体" w:hAnsi="宋体" w:eastAsia="宋体"/>
              <w:b/>
              <w:bCs/>
              <w:szCs w:val="24"/>
              <w:lang w:eastAsia="zh-CN"/>
            </w:rPr>
          </w:pPr>
          <w:r>
            <w:fldChar w:fldCharType="begin"/>
          </w:r>
          <w:r>
            <w:instrText xml:space="preserve"> HYPERLINK \l "_Toc24868" </w:instrText>
          </w:r>
          <w:r>
            <w:fldChar w:fldCharType="separate"/>
          </w:r>
          <w:r>
            <w:rPr>
              <w:rFonts w:hint="eastAsia" w:ascii="宋体" w:hAnsi="宋体" w:eastAsia="宋体"/>
              <w:b/>
              <w:bCs/>
              <w:szCs w:val="24"/>
              <w:lang w:eastAsia="zh-CN"/>
            </w:rPr>
            <w:t>2 规范性引用文件</w:t>
          </w:r>
          <w:r>
            <w:rPr>
              <w:rFonts w:hint="eastAsia" w:ascii="宋体" w:hAnsi="宋体" w:eastAsia="宋体"/>
              <w:b/>
              <w:bCs/>
              <w:szCs w:val="24"/>
              <w:lang w:eastAsia="zh-CN"/>
            </w:rPr>
            <w:tab/>
          </w:r>
          <w:r>
            <w:rPr>
              <w:rFonts w:hint="eastAsia" w:ascii="宋体" w:hAnsi="宋体" w:eastAsia="宋体"/>
              <w:b/>
              <w:bCs/>
              <w:szCs w:val="24"/>
              <w:lang w:eastAsia="zh-CN"/>
            </w:rPr>
            <w:fldChar w:fldCharType="begin"/>
          </w:r>
          <w:r>
            <w:rPr>
              <w:rFonts w:hint="eastAsia" w:ascii="宋体" w:hAnsi="宋体" w:eastAsia="宋体"/>
              <w:b/>
              <w:bCs/>
              <w:szCs w:val="24"/>
              <w:lang w:eastAsia="zh-CN"/>
            </w:rPr>
            <w:instrText xml:space="preserve"> PAGEREF _Toc24868 \h </w:instrText>
          </w:r>
          <w:r>
            <w:rPr>
              <w:rFonts w:hint="eastAsia" w:ascii="宋体" w:hAnsi="宋体" w:eastAsia="宋体"/>
              <w:b/>
              <w:bCs/>
              <w:szCs w:val="24"/>
              <w:lang w:eastAsia="zh-CN"/>
            </w:rPr>
            <w:fldChar w:fldCharType="separate"/>
          </w:r>
          <w:r>
            <w:rPr>
              <w:rFonts w:hint="eastAsia" w:ascii="宋体" w:hAnsi="宋体" w:eastAsia="宋体"/>
              <w:b/>
              <w:bCs/>
              <w:szCs w:val="24"/>
              <w:lang w:eastAsia="zh-CN"/>
            </w:rPr>
            <w:t>4</w:t>
          </w:r>
          <w:r>
            <w:rPr>
              <w:rFonts w:hint="eastAsia" w:ascii="宋体" w:hAnsi="宋体" w:eastAsia="宋体"/>
              <w:b/>
              <w:bCs/>
              <w:szCs w:val="24"/>
              <w:lang w:eastAsia="zh-CN"/>
            </w:rPr>
            <w:fldChar w:fldCharType="end"/>
          </w:r>
          <w:r>
            <w:rPr>
              <w:rFonts w:hint="eastAsia" w:ascii="宋体" w:hAnsi="宋体" w:eastAsia="宋体"/>
              <w:b/>
              <w:bCs/>
              <w:szCs w:val="24"/>
              <w:lang w:eastAsia="zh-CN"/>
            </w:rPr>
            <w:fldChar w:fldCharType="end"/>
          </w:r>
        </w:p>
        <w:p w14:paraId="68337611">
          <w:pPr>
            <w:pStyle w:val="8"/>
            <w:tabs>
              <w:tab w:val="right" w:leader="dot" w:pos="8390"/>
            </w:tabs>
            <w:spacing w:line="360" w:lineRule="auto"/>
            <w:rPr>
              <w:rFonts w:ascii="宋体" w:hAnsi="宋体" w:eastAsia="宋体"/>
              <w:b/>
              <w:bCs/>
              <w:szCs w:val="24"/>
              <w:lang w:eastAsia="zh-CN"/>
            </w:rPr>
          </w:pPr>
          <w:r>
            <w:fldChar w:fldCharType="begin"/>
          </w:r>
          <w:r>
            <w:instrText xml:space="preserve"> HYPERLINK \l "_Toc20774" </w:instrText>
          </w:r>
          <w:r>
            <w:fldChar w:fldCharType="separate"/>
          </w:r>
          <w:r>
            <w:rPr>
              <w:rFonts w:hint="eastAsia" w:ascii="宋体" w:hAnsi="宋体" w:eastAsia="宋体"/>
              <w:b/>
              <w:bCs/>
              <w:szCs w:val="24"/>
              <w:lang w:eastAsia="zh-CN"/>
            </w:rPr>
            <w:t>3 术语和定义</w:t>
          </w:r>
          <w:r>
            <w:rPr>
              <w:rFonts w:hint="eastAsia" w:ascii="宋体" w:hAnsi="宋体" w:eastAsia="宋体"/>
              <w:b/>
              <w:bCs/>
              <w:szCs w:val="24"/>
              <w:lang w:eastAsia="zh-CN"/>
            </w:rPr>
            <w:tab/>
          </w:r>
          <w:r>
            <w:rPr>
              <w:rFonts w:hint="eastAsia" w:ascii="宋体" w:hAnsi="宋体" w:eastAsia="宋体"/>
              <w:b/>
              <w:bCs/>
              <w:szCs w:val="24"/>
              <w:lang w:eastAsia="zh-CN"/>
            </w:rPr>
            <w:fldChar w:fldCharType="begin"/>
          </w:r>
          <w:r>
            <w:rPr>
              <w:rFonts w:hint="eastAsia" w:ascii="宋体" w:hAnsi="宋体" w:eastAsia="宋体"/>
              <w:b/>
              <w:bCs/>
              <w:szCs w:val="24"/>
              <w:lang w:eastAsia="zh-CN"/>
            </w:rPr>
            <w:instrText xml:space="preserve"> PAGEREF _Toc20774 \h </w:instrText>
          </w:r>
          <w:r>
            <w:rPr>
              <w:rFonts w:hint="eastAsia" w:ascii="宋体" w:hAnsi="宋体" w:eastAsia="宋体"/>
              <w:b/>
              <w:bCs/>
              <w:szCs w:val="24"/>
              <w:lang w:eastAsia="zh-CN"/>
            </w:rPr>
            <w:fldChar w:fldCharType="separate"/>
          </w:r>
          <w:r>
            <w:rPr>
              <w:rFonts w:hint="eastAsia" w:ascii="宋体" w:hAnsi="宋体" w:eastAsia="宋体"/>
              <w:b/>
              <w:bCs/>
              <w:szCs w:val="24"/>
              <w:lang w:eastAsia="zh-CN"/>
            </w:rPr>
            <w:t>4</w:t>
          </w:r>
          <w:r>
            <w:rPr>
              <w:rFonts w:hint="eastAsia" w:ascii="宋体" w:hAnsi="宋体" w:eastAsia="宋体"/>
              <w:b/>
              <w:bCs/>
              <w:szCs w:val="24"/>
              <w:lang w:eastAsia="zh-CN"/>
            </w:rPr>
            <w:fldChar w:fldCharType="end"/>
          </w:r>
          <w:r>
            <w:rPr>
              <w:rFonts w:hint="eastAsia" w:ascii="宋体" w:hAnsi="宋体" w:eastAsia="宋体"/>
              <w:b/>
              <w:bCs/>
              <w:szCs w:val="24"/>
              <w:lang w:eastAsia="zh-CN"/>
            </w:rPr>
            <w:fldChar w:fldCharType="end"/>
          </w:r>
        </w:p>
        <w:p w14:paraId="1945515B">
          <w:pPr>
            <w:pStyle w:val="8"/>
            <w:tabs>
              <w:tab w:val="right" w:leader="dot" w:pos="8390"/>
            </w:tabs>
            <w:spacing w:line="360" w:lineRule="auto"/>
            <w:rPr>
              <w:b/>
              <w:bCs/>
            </w:rPr>
          </w:pPr>
          <w:r>
            <w:fldChar w:fldCharType="begin"/>
          </w:r>
          <w:r>
            <w:instrText xml:space="preserve"> HYPERLINK \l "_Toc12850" </w:instrText>
          </w:r>
          <w:r>
            <w:fldChar w:fldCharType="separate"/>
          </w:r>
          <w:r>
            <w:rPr>
              <w:rFonts w:hint="eastAsia" w:ascii="宋体" w:hAnsi="宋体" w:eastAsia="宋体"/>
              <w:b/>
              <w:bCs/>
              <w:szCs w:val="24"/>
              <w:lang w:eastAsia="zh-CN"/>
            </w:rPr>
            <w:t>4 流行病学特点</w:t>
          </w:r>
          <w:r>
            <w:rPr>
              <w:rFonts w:hint="eastAsia" w:ascii="宋体" w:hAnsi="宋体" w:eastAsia="宋体"/>
              <w:b/>
              <w:bCs/>
              <w:szCs w:val="24"/>
              <w:lang w:eastAsia="zh-CN"/>
            </w:rPr>
            <w:tab/>
          </w:r>
          <w:r>
            <w:rPr>
              <w:rFonts w:hint="eastAsia" w:ascii="宋体" w:hAnsi="宋体" w:eastAsia="宋体"/>
              <w:b/>
              <w:bCs/>
              <w:szCs w:val="24"/>
              <w:lang w:eastAsia="zh-CN"/>
            </w:rPr>
            <w:fldChar w:fldCharType="begin"/>
          </w:r>
          <w:r>
            <w:rPr>
              <w:rFonts w:hint="eastAsia" w:ascii="宋体" w:hAnsi="宋体" w:eastAsia="宋体"/>
              <w:b/>
              <w:bCs/>
              <w:szCs w:val="24"/>
              <w:lang w:eastAsia="zh-CN"/>
            </w:rPr>
            <w:instrText xml:space="preserve"> PAGEREF _Toc12850 \h </w:instrText>
          </w:r>
          <w:r>
            <w:rPr>
              <w:rFonts w:hint="eastAsia" w:ascii="宋体" w:hAnsi="宋体" w:eastAsia="宋体"/>
              <w:b/>
              <w:bCs/>
              <w:szCs w:val="24"/>
              <w:lang w:eastAsia="zh-CN"/>
            </w:rPr>
            <w:fldChar w:fldCharType="separate"/>
          </w:r>
          <w:r>
            <w:rPr>
              <w:rFonts w:hint="eastAsia" w:ascii="宋体" w:hAnsi="宋体" w:eastAsia="宋体"/>
              <w:b/>
              <w:bCs/>
              <w:szCs w:val="24"/>
              <w:lang w:eastAsia="zh-CN"/>
            </w:rPr>
            <w:t>5</w:t>
          </w:r>
          <w:r>
            <w:rPr>
              <w:rFonts w:hint="eastAsia" w:ascii="宋体" w:hAnsi="宋体" w:eastAsia="宋体"/>
              <w:b/>
              <w:bCs/>
              <w:szCs w:val="24"/>
              <w:lang w:eastAsia="zh-CN"/>
            </w:rPr>
            <w:fldChar w:fldCharType="end"/>
          </w:r>
          <w:r>
            <w:rPr>
              <w:rFonts w:hint="eastAsia" w:ascii="宋体" w:hAnsi="宋体" w:eastAsia="宋体"/>
              <w:b/>
              <w:bCs/>
              <w:szCs w:val="24"/>
              <w:lang w:eastAsia="zh-CN"/>
            </w:rPr>
            <w:fldChar w:fldCharType="end"/>
          </w:r>
        </w:p>
        <w:p w14:paraId="134EC81C">
          <w:pPr>
            <w:pStyle w:val="8"/>
            <w:tabs>
              <w:tab w:val="right" w:leader="dot" w:pos="8390"/>
            </w:tabs>
            <w:spacing w:line="360" w:lineRule="auto"/>
            <w:rPr>
              <w:rFonts w:ascii="宋体" w:hAnsi="宋体" w:eastAsia="宋体"/>
              <w:b/>
              <w:bCs/>
              <w:szCs w:val="24"/>
            </w:rPr>
          </w:pPr>
          <w:r>
            <w:fldChar w:fldCharType="begin"/>
          </w:r>
          <w:r>
            <w:instrText xml:space="preserve"> HYPERLINK \l "_Toc5321" </w:instrText>
          </w:r>
          <w:r>
            <w:fldChar w:fldCharType="separate"/>
          </w:r>
          <w:r>
            <w:rPr>
              <w:rFonts w:hint="eastAsia" w:ascii="宋体" w:hAnsi="宋体" w:eastAsia="宋体"/>
              <w:b/>
              <w:bCs/>
              <w:szCs w:val="24"/>
              <w:lang w:eastAsia="zh-CN"/>
            </w:rPr>
            <w:t>5</w:t>
          </w:r>
          <w:r>
            <w:rPr>
              <w:rFonts w:ascii="宋体" w:hAnsi="宋体" w:eastAsia="宋体"/>
              <w:b/>
              <w:bCs/>
              <w:szCs w:val="24"/>
            </w:rPr>
            <w:t xml:space="preserve"> </w:t>
          </w:r>
          <w:r>
            <w:rPr>
              <w:rFonts w:hint="eastAsia" w:ascii="宋体" w:hAnsi="宋体" w:eastAsia="宋体"/>
              <w:b/>
              <w:bCs/>
              <w:szCs w:val="24"/>
              <w:lang w:eastAsia="zh-CN"/>
            </w:rPr>
            <w:t>西医</w:t>
          </w:r>
          <w:r>
            <w:rPr>
              <w:rFonts w:ascii="宋体" w:hAnsi="宋体" w:eastAsia="宋体"/>
              <w:b/>
              <w:bCs/>
              <w:szCs w:val="24"/>
            </w:rPr>
            <w:t>诊断</w:t>
          </w:r>
          <w:r>
            <w:rPr>
              <w:rFonts w:ascii="宋体" w:hAnsi="宋体" w:eastAsia="宋体"/>
              <w:b/>
              <w:bCs/>
              <w:szCs w:val="24"/>
            </w:rPr>
            <w:tab/>
          </w:r>
          <w:r>
            <w:rPr>
              <w:rFonts w:ascii="宋体" w:hAnsi="宋体" w:eastAsia="宋体"/>
              <w:b/>
              <w:bCs/>
              <w:szCs w:val="24"/>
            </w:rPr>
            <w:fldChar w:fldCharType="begin"/>
          </w:r>
          <w:r>
            <w:rPr>
              <w:rFonts w:ascii="宋体" w:hAnsi="宋体" w:eastAsia="宋体"/>
              <w:b/>
              <w:bCs/>
              <w:szCs w:val="24"/>
            </w:rPr>
            <w:instrText xml:space="preserve"> PAGEREF _Toc5321 \h </w:instrText>
          </w:r>
          <w:r>
            <w:rPr>
              <w:rFonts w:ascii="宋体" w:hAnsi="宋体" w:eastAsia="宋体"/>
              <w:b/>
              <w:bCs/>
              <w:szCs w:val="24"/>
            </w:rPr>
            <w:fldChar w:fldCharType="separate"/>
          </w:r>
          <w:r>
            <w:rPr>
              <w:rFonts w:ascii="宋体" w:hAnsi="宋体" w:eastAsia="宋体"/>
              <w:b/>
              <w:bCs/>
              <w:szCs w:val="24"/>
            </w:rPr>
            <w:t>5</w:t>
          </w:r>
          <w:r>
            <w:rPr>
              <w:rFonts w:ascii="宋体" w:hAnsi="宋体" w:eastAsia="宋体"/>
              <w:b/>
              <w:bCs/>
              <w:szCs w:val="24"/>
            </w:rPr>
            <w:fldChar w:fldCharType="end"/>
          </w:r>
          <w:r>
            <w:rPr>
              <w:rFonts w:ascii="宋体" w:hAnsi="宋体" w:eastAsia="宋体"/>
              <w:b/>
              <w:bCs/>
              <w:szCs w:val="24"/>
            </w:rPr>
            <w:fldChar w:fldCharType="end"/>
          </w:r>
        </w:p>
        <w:p w14:paraId="505F888D">
          <w:pPr>
            <w:pStyle w:val="8"/>
            <w:tabs>
              <w:tab w:val="right" w:leader="dot" w:pos="8390"/>
            </w:tabs>
            <w:spacing w:line="360" w:lineRule="auto"/>
            <w:rPr>
              <w:rFonts w:ascii="宋体" w:hAnsi="宋体" w:eastAsia="宋体"/>
              <w:b/>
              <w:bCs/>
              <w:szCs w:val="24"/>
              <w:lang w:eastAsia="zh-CN"/>
            </w:rPr>
          </w:pPr>
          <w:r>
            <w:fldChar w:fldCharType="begin"/>
          </w:r>
          <w:r>
            <w:instrText xml:space="preserve"> HYPERLINK \l "_Toc20738" </w:instrText>
          </w:r>
          <w:r>
            <w:fldChar w:fldCharType="separate"/>
          </w:r>
          <w:r>
            <w:rPr>
              <w:rFonts w:ascii="宋体" w:hAnsi="宋体" w:eastAsia="宋体"/>
              <w:b/>
              <w:bCs/>
              <w:szCs w:val="24"/>
              <w:lang w:eastAsia="zh-CN"/>
            </w:rPr>
            <w:t xml:space="preserve">6 </w:t>
          </w:r>
          <w:r>
            <w:rPr>
              <w:rFonts w:hint="eastAsia" w:ascii="宋体" w:hAnsi="宋体" w:eastAsia="宋体"/>
              <w:b/>
              <w:bCs/>
              <w:szCs w:val="24"/>
              <w:lang w:eastAsia="zh-CN"/>
            </w:rPr>
            <w:t>病因病机</w:t>
          </w:r>
          <w:r>
            <w:rPr>
              <w:rFonts w:ascii="宋体" w:hAnsi="宋体" w:eastAsia="宋体"/>
              <w:b/>
              <w:bCs/>
              <w:szCs w:val="24"/>
            </w:rPr>
            <w:tab/>
          </w:r>
          <w:r>
            <w:rPr>
              <w:rFonts w:ascii="宋体" w:hAnsi="宋体" w:eastAsia="宋体"/>
              <w:b/>
              <w:bCs/>
              <w:szCs w:val="24"/>
            </w:rPr>
            <w:fldChar w:fldCharType="end"/>
          </w:r>
          <w:r>
            <w:rPr>
              <w:rFonts w:hint="eastAsia" w:ascii="宋体" w:hAnsi="宋体" w:eastAsia="宋体"/>
              <w:b/>
              <w:bCs/>
              <w:szCs w:val="24"/>
              <w:lang w:eastAsia="zh-CN"/>
            </w:rPr>
            <w:t>5</w:t>
          </w:r>
        </w:p>
        <w:p w14:paraId="7C0673C4">
          <w:pPr>
            <w:pStyle w:val="8"/>
            <w:tabs>
              <w:tab w:val="right" w:leader="dot" w:pos="8390"/>
            </w:tabs>
            <w:spacing w:line="360" w:lineRule="auto"/>
            <w:rPr>
              <w:rFonts w:ascii="宋体" w:hAnsi="宋体" w:eastAsia="宋体"/>
              <w:b/>
              <w:bCs/>
              <w:szCs w:val="24"/>
            </w:rPr>
          </w:pPr>
          <w:r>
            <w:fldChar w:fldCharType="begin"/>
          </w:r>
          <w:r>
            <w:instrText xml:space="preserve"> HYPERLINK \l "_Toc20687" </w:instrText>
          </w:r>
          <w:r>
            <w:fldChar w:fldCharType="separate"/>
          </w:r>
          <w:r>
            <w:rPr>
              <w:rFonts w:hint="eastAsia" w:ascii="宋体" w:hAnsi="宋体" w:eastAsia="宋体"/>
              <w:b/>
              <w:bCs/>
              <w:szCs w:val="24"/>
              <w:lang w:eastAsia="zh-CN"/>
            </w:rPr>
            <w:t>7 辨证分型</w:t>
          </w:r>
          <w:r>
            <w:rPr>
              <w:rFonts w:ascii="宋体" w:hAnsi="宋体" w:eastAsia="宋体"/>
              <w:b/>
              <w:bCs/>
              <w:szCs w:val="24"/>
            </w:rPr>
            <w:tab/>
          </w:r>
          <w:r>
            <w:rPr>
              <w:rFonts w:ascii="宋体" w:hAnsi="宋体" w:eastAsia="宋体"/>
              <w:b/>
              <w:bCs/>
              <w:szCs w:val="24"/>
            </w:rPr>
            <w:fldChar w:fldCharType="end"/>
          </w:r>
          <w:r>
            <w:rPr>
              <w:rFonts w:hint="eastAsia" w:ascii="宋体" w:hAnsi="宋体" w:eastAsia="宋体"/>
              <w:b/>
              <w:bCs/>
              <w:szCs w:val="24"/>
              <w:lang w:eastAsia="zh-CN"/>
            </w:rPr>
            <w:t>5</w:t>
          </w:r>
        </w:p>
        <w:p w14:paraId="1E9431A6">
          <w:pPr>
            <w:pStyle w:val="8"/>
            <w:tabs>
              <w:tab w:val="right" w:leader="dot" w:pos="8390"/>
            </w:tabs>
            <w:spacing w:line="360" w:lineRule="auto"/>
            <w:rPr>
              <w:rFonts w:eastAsia="宋体"/>
              <w:b/>
              <w:bCs/>
              <w:lang w:eastAsia="zh-CN"/>
            </w:rPr>
          </w:pPr>
          <w:r>
            <w:fldChar w:fldCharType="begin"/>
          </w:r>
          <w:r>
            <w:instrText xml:space="preserve"> HYPERLINK \l "_Toc21168" </w:instrText>
          </w:r>
          <w:r>
            <w:fldChar w:fldCharType="separate"/>
          </w:r>
          <w:r>
            <w:rPr>
              <w:rFonts w:hint="eastAsia" w:ascii="宋体" w:hAnsi="宋体" w:eastAsia="宋体"/>
              <w:b/>
              <w:bCs/>
              <w:szCs w:val="24"/>
              <w:lang w:eastAsia="zh-CN"/>
            </w:rPr>
            <w:t>8 中西医综合干预和推荐方案</w:t>
          </w:r>
          <w:r>
            <w:rPr>
              <w:rFonts w:ascii="宋体" w:hAnsi="宋体" w:eastAsia="宋体"/>
              <w:b/>
              <w:bCs/>
              <w:szCs w:val="24"/>
            </w:rPr>
            <w:tab/>
          </w:r>
          <w:r>
            <w:rPr>
              <w:rFonts w:ascii="宋体" w:hAnsi="宋体" w:eastAsia="宋体"/>
              <w:b/>
              <w:bCs/>
              <w:szCs w:val="24"/>
            </w:rPr>
            <w:fldChar w:fldCharType="end"/>
          </w:r>
          <w:r>
            <w:rPr>
              <w:rFonts w:hint="eastAsia" w:ascii="宋体" w:hAnsi="宋体" w:eastAsia="宋体"/>
              <w:b/>
              <w:bCs/>
              <w:szCs w:val="24"/>
              <w:lang w:eastAsia="zh-CN"/>
            </w:rPr>
            <w:t>6</w:t>
          </w:r>
        </w:p>
        <w:p w14:paraId="36416221">
          <w:pPr>
            <w:pStyle w:val="8"/>
            <w:tabs>
              <w:tab w:val="right" w:leader="dot" w:pos="8390"/>
            </w:tabs>
            <w:spacing w:line="360" w:lineRule="auto"/>
            <w:rPr>
              <w:rFonts w:ascii="宋体" w:hAnsi="宋体" w:eastAsia="宋体"/>
              <w:szCs w:val="24"/>
              <w:lang w:eastAsia="zh-CN"/>
            </w:rPr>
          </w:pPr>
          <w:r>
            <w:fldChar w:fldCharType="begin"/>
          </w:r>
          <w:r>
            <w:instrText xml:space="preserve"> HYPERLINK \l "_Toc11555" </w:instrText>
          </w:r>
          <w:r>
            <w:fldChar w:fldCharType="separate"/>
          </w:r>
          <w:r>
            <w:rPr>
              <w:rFonts w:hint="eastAsia" w:ascii="宋体" w:hAnsi="宋体" w:eastAsia="宋体"/>
              <w:b/>
              <w:bCs/>
              <w:szCs w:val="24"/>
              <w:lang w:eastAsia="zh-CN"/>
            </w:rPr>
            <w:t>参考文献</w:t>
          </w:r>
          <w:r>
            <w:rPr>
              <w:rFonts w:hint="eastAsia" w:ascii="宋体" w:hAnsi="宋体" w:eastAsia="宋体"/>
              <w:b/>
              <w:bCs/>
              <w:szCs w:val="24"/>
              <w:lang w:eastAsia="zh-CN"/>
            </w:rPr>
            <w:tab/>
          </w:r>
          <w:r>
            <w:rPr>
              <w:rFonts w:hint="eastAsia" w:ascii="宋体" w:hAnsi="宋体" w:eastAsia="宋体"/>
              <w:b/>
              <w:bCs/>
              <w:szCs w:val="24"/>
              <w:lang w:eastAsia="zh-CN"/>
            </w:rPr>
            <w:fldChar w:fldCharType="end"/>
          </w:r>
          <w:r>
            <w:rPr>
              <w:rFonts w:hint="eastAsia" w:ascii="宋体" w:hAnsi="宋体" w:eastAsia="宋体"/>
              <w:b/>
              <w:bCs/>
              <w:szCs w:val="24"/>
              <w:lang w:eastAsia="zh-CN"/>
            </w:rPr>
            <w:t>9</w:t>
          </w:r>
        </w:p>
        <w:p w14:paraId="055E6801">
          <w:pPr>
            <w:tabs>
              <w:tab w:val="right" w:leader="dot" w:pos="8310"/>
            </w:tabs>
            <w:spacing w:before="65" w:line="360" w:lineRule="auto"/>
            <w:ind w:left="25"/>
            <w:rPr>
              <w:rFonts w:ascii="宋体" w:hAnsi="宋体" w:eastAsia="宋体"/>
              <w:sz w:val="24"/>
              <w:szCs w:val="24"/>
            </w:rPr>
          </w:pPr>
          <w:r>
            <w:rPr>
              <w:rFonts w:ascii="宋体" w:hAnsi="宋体" w:eastAsia="宋体"/>
              <w:szCs w:val="24"/>
            </w:rPr>
            <w:fldChar w:fldCharType="end"/>
          </w:r>
        </w:p>
      </w:sdtContent>
    </w:sdt>
    <w:p w14:paraId="11C8A3F1">
      <w:pPr>
        <w:pStyle w:val="5"/>
        <w:spacing w:before="64" w:line="228" w:lineRule="auto"/>
        <w:ind w:left="3698"/>
        <w:outlineLvl w:val="0"/>
        <w:rPr>
          <w:rFonts w:ascii="宋体" w:hAnsi="宋体" w:eastAsia="宋体"/>
          <w:spacing w:val="-2"/>
        </w:rPr>
      </w:pPr>
      <w:bookmarkStart w:id="4" w:name="bookmark1"/>
      <w:bookmarkEnd w:id="4"/>
    </w:p>
    <w:p w14:paraId="59460328">
      <w:pPr>
        <w:pStyle w:val="5"/>
        <w:spacing w:before="64" w:line="228" w:lineRule="auto"/>
        <w:ind w:left="3698"/>
        <w:outlineLvl w:val="0"/>
        <w:rPr>
          <w:spacing w:val="-2"/>
        </w:rPr>
      </w:pPr>
    </w:p>
    <w:p w14:paraId="6DF3EE9E">
      <w:pPr>
        <w:pStyle w:val="5"/>
        <w:spacing w:before="64" w:line="228" w:lineRule="auto"/>
        <w:ind w:left="3698"/>
        <w:outlineLvl w:val="0"/>
        <w:rPr>
          <w:spacing w:val="-2"/>
        </w:rPr>
      </w:pPr>
    </w:p>
    <w:p w14:paraId="4216227A">
      <w:pPr>
        <w:pStyle w:val="5"/>
        <w:spacing w:before="64" w:line="228" w:lineRule="auto"/>
        <w:ind w:left="3698"/>
        <w:outlineLvl w:val="0"/>
        <w:rPr>
          <w:spacing w:val="-2"/>
        </w:rPr>
      </w:pPr>
    </w:p>
    <w:p w14:paraId="66357E8E">
      <w:pPr>
        <w:pStyle w:val="5"/>
        <w:spacing w:before="64" w:line="228" w:lineRule="auto"/>
        <w:ind w:left="3698"/>
        <w:outlineLvl w:val="0"/>
        <w:rPr>
          <w:spacing w:val="-2"/>
        </w:rPr>
      </w:pPr>
    </w:p>
    <w:p w14:paraId="2D44FE6E">
      <w:pPr>
        <w:pStyle w:val="5"/>
        <w:spacing w:before="64" w:line="228" w:lineRule="auto"/>
        <w:ind w:left="3698"/>
        <w:outlineLvl w:val="0"/>
        <w:rPr>
          <w:spacing w:val="-2"/>
        </w:rPr>
      </w:pPr>
    </w:p>
    <w:p w14:paraId="4AE18A91">
      <w:pPr>
        <w:pStyle w:val="5"/>
        <w:spacing w:before="64" w:line="228" w:lineRule="auto"/>
        <w:ind w:left="3698"/>
        <w:outlineLvl w:val="0"/>
        <w:rPr>
          <w:spacing w:val="-2"/>
        </w:rPr>
      </w:pPr>
    </w:p>
    <w:p w14:paraId="498DB6E4">
      <w:pPr>
        <w:pStyle w:val="5"/>
        <w:spacing w:before="64" w:line="228" w:lineRule="auto"/>
        <w:ind w:left="3698"/>
        <w:outlineLvl w:val="0"/>
        <w:rPr>
          <w:spacing w:val="-2"/>
        </w:rPr>
      </w:pPr>
    </w:p>
    <w:p w14:paraId="5CAE16FA">
      <w:pPr>
        <w:pStyle w:val="5"/>
        <w:spacing w:before="64" w:line="228" w:lineRule="auto"/>
        <w:ind w:left="3698"/>
        <w:outlineLvl w:val="0"/>
        <w:rPr>
          <w:spacing w:val="-2"/>
        </w:rPr>
      </w:pPr>
    </w:p>
    <w:p w14:paraId="1DB45FF8">
      <w:pPr>
        <w:pStyle w:val="5"/>
        <w:spacing w:before="64" w:line="228" w:lineRule="auto"/>
        <w:ind w:left="3698"/>
        <w:outlineLvl w:val="0"/>
        <w:rPr>
          <w:spacing w:val="-2"/>
        </w:rPr>
      </w:pPr>
    </w:p>
    <w:p w14:paraId="2BD27D32">
      <w:pPr>
        <w:pStyle w:val="5"/>
        <w:spacing w:before="64" w:line="228" w:lineRule="auto"/>
        <w:ind w:left="3698"/>
        <w:outlineLvl w:val="0"/>
        <w:rPr>
          <w:spacing w:val="-2"/>
        </w:rPr>
      </w:pPr>
    </w:p>
    <w:p w14:paraId="4519A14F">
      <w:pPr>
        <w:pStyle w:val="5"/>
        <w:spacing w:before="64" w:line="228" w:lineRule="auto"/>
        <w:ind w:left="3698"/>
        <w:outlineLvl w:val="0"/>
        <w:rPr>
          <w:spacing w:val="-2"/>
        </w:rPr>
      </w:pPr>
    </w:p>
    <w:p w14:paraId="034E2BBE">
      <w:pPr>
        <w:pStyle w:val="5"/>
        <w:spacing w:before="64" w:line="228" w:lineRule="auto"/>
        <w:ind w:left="3698"/>
        <w:outlineLvl w:val="0"/>
        <w:rPr>
          <w:spacing w:val="-2"/>
        </w:rPr>
      </w:pPr>
    </w:p>
    <w:p w14:paraId="68F0DBE8">
      <w:pPr>
        <w:pStyle w:val="5"/>
        <w:spacing w:before="64" w:line="228" w:lineRule="auto"/>
        <w:ind w:left="3698"/>
        <w:outlineLvl w:val="0"/>
        <w:rPr>
          <w:spacing w:val="-2"/>
        </w:rPr>
      </w:pPr>
    </w:p>
    <w:p w14:paraId="7B3142D9">
      <w:pPr>
        <w:pStyle w:val="5"/>
        <w:spacing w:before="64" w:line="228" w:lineRule="auto"/>
        <w:ind w:left="3698"/>
        <w:outlineLvl w:val="0"/>
        <w:rPr>
          <w:spacing w:val="-2"/>
        </w:rPr>
      </w:pPr>
    </w:p>
    <w:p w14:paraId="2BDE816F">
      <w:pPr>
        <w:pStyle w:val="5"/>
        <w:spacing w:before="64" w:line="228" w:lineRule="auto"/>
        <w:ind w:left="3698"/>
        <w:outlineLvl w:val="0"/>
        <w:rPr>
          <w:spacing w:val="-2"/>
        </w:rPr>
      </w:pPr>
    </w:p>
    <w:p w14:paraId="121849E2">
      <w:pPr>
        <w:pStyle w:val="5"/>
        <w:spacing w:before="64" w:line="228" w:lineRule="auto"/>
        <w:ind w:left="3698"/>
        <w:outlineLvl w:val="0"/>
        <w:rPr>
          <w:spacing w:val="-2"/>
        </w:rPr>
      </w:pPr>
    </w:p>
    <w:p w14:paraId="1FFB5D03">
      <w:pPr>
        <w:pStyle w:val="5"/>
        <w:spacing w:before="64" w:line="228" w:lineRule="auto"/>
        <w:ind w:left="3698"/>
        <w:outlineLvl w:val="0"/>
        <w:rPr>
          <w:spacing w:val="-2"/>
        </w:rPr>
      </w:pPr>
    </w:p>
    <w:p w14:paraId="48D70C50">
      <w:pPr>
        <w:pStyle w:val="5"/>
        <w:spacing w:before="64" w:line="228" w:lineRule="auto"/>
        <w:ind w:left="3698"/>
        <w:outlineLvl w:val="0"/>
        <w:rPr>
          <w:spacing w:val="-2"/>
          <w:lang w:eastAsia="zh-CN"/>
        </w:rPr>
      </w:pPr>
      <w:bookmarkStart w:id="5" w:name="_Toc19324"/>
      <w:r>
        <w:rPr>
          <w:spacing w:val="-2"/>
          <w:lang w:eastAsia="zh-CN"/>
        </w:rPr>
        <w:t>前</w:t>
      </w:r>
      <w:r>
        <w:rPr>
          <w:spacing w:val="18"/>
          <w:lang w:eastAsia="zh-CN"/>
        </w:rPr>
        <w:t xml:space="preserve">  </w:t>
      </w:r>
      <w:r>
        <w:rPr>
          <w:spacing w:val="-2"/>
          <w:lang w:eastAsia="zh-CN"/>
        </w:rPr>
        <w:t>言</w:t>
      </w:r>
      <w:bookmarkEnd w:id="5"/>
    </w:p>
    <w:p w14:paraId="7D002F27">
      <w:pPr>
        <w:pStyle w:val="5"/>
        <w:spacing w:before="64" w:line="228" w:lineRule="auto"/>
        <w:ind w:left="3698"/>
        <w:outlineLvl w:val="0"/>
        <w:rPr>
          <w:spacing w:val="-2"/>
          <w:lang w:eastAsia="zh-CN"/>
        </w:rPr>
      </w:pPr>
    </w:p>
    <w:p w14:paraId="0B1DE00F">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本文件参照GB/T1. 1—2020《标准化工作导则第1部分:标准化文件的结构和起草规则》 的规定起草。</w:t>
      </w:r>
    </w:p>
    <w:p w14:paraId="142960B7">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本文件由山东中医药大学附属医院、山东中医药大学提出。</w:t>
      </w:r>
    </w:p>
    <w:p w14:paraId="127007FA">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本文件由山东中医药学会归口。</w:t>
      </w:r>
    </w:p>
    <w:p w14:paraId="6EEEBDD6">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本文件负责起草单位：山东中医药大学附属医院、山东中医药大学。</w:t>
      </w:r>
    </w:p>
    <w:p w14:paraId="57F5A789">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本文件参与起草单位：山东中医药大学附属医院、山东中医药大学、</w:t>
      </w:r>
      <w:r>
        <w:rPr>
          <w:rFonts w:hint="eastAsia" w:ascii="宋体" w:hAnsi="宋体" w:eastAsia="宋体" w:cs="宋体"/>
          <w:snapToGrid/>
          <w:color w:val="000000" w:themeColor="text1"/>
          <w:kern w:val="2"/>
          <w:sz w:val="24"/>
          <w:szCs w:val="24"/>
          <w:lang w:eastAsia="zh-CN"/>
          <w14:textFill>
            <w14:solidFill>
              <w14:schemeClr w14:val="tx1"/>
            </w14:solidFill>
          </w14:textFill>
        </w:rPr>
        <w:t>中国中医科学院广安门医院、西藏藏医药大学、西藏藏医药大学附属医院、</w:t>
      </w:r>
      <w:r>
        <w:rPr>
          <w:rFonts w:hint="eastAsia" w:ascii="宋体" w:hAnsi="宋体" w:eastAsia="宋体" w:cs="宋体"/>
          <w:snapToGrid/>
          <w:kern w:val="2"/>
          <w:sz w:val="24"/>
          <w:szCs w:val="24"/>
          <w:lang w:eastAsia="zh-CN"/>
        </w:rPr>
        <w:t>山</w:t>
      </w:r>
      <w:r>
        <w:rPr>
          <w:rFonts w:hint="eastAsia" w:ascii="宋体" w:hAnsi="宋体" w:eastAsia="宋体" w:cs="宋体"/>
          <w:snapToGrid/>
          <w:color w:val="000000" w:themeColor="text1"/>
          <w:kern w:val="2"/>
          <w:sz w:val="24"/>
          <w:szCs w:val="24"/>
          <w:lang w:eastAsia="zh-CN"/>
          <w14:textFill>
            <w14:solidFill>
              <w14:schemeClr w14:val="tx1"/>
            </w14:solidFill>
          </w14:textFill>
        </w:rPr>
        <w:t>东第</w:t>
      </w:r>
      <w:r>
        <w:rPr>
          <w:rFonts w:hint="eastAsia" w:ascii="宋体" w:hAnsi="宋体" w:eastAsia="宋体" w:cs="宋体"/>
          <w:snapToGrid/>
          <w:kern w:val="2"/>
          <w:sz w:val="24"/>
          <w:szCs w:val="24"/>
          <w:lang w:eastAsia="zh-CN"/>
        </w:rPr>
        <w:t>二医科大学附属潍坊市中医院、中国中医科学院广安门医院济南医院。</w:t>
      </w:r>
    </w:p>
    <w:p w14:paraId="06292916">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本文件主要起草人：李运伦、薛一涛。</w:t>
      </w:r>
    </w:p>
    <w:p w14:paraId="7419DD32">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本文件其他起草人：丁书文、刘持年、熊兴江、仁青加、吴宗耀、杨佃会、嵇克刚、焦华琛、蒋海强、张学正、王怡斐、张磊、李焱、杨雯晴、李超、李洁、滑振、冯晓敬、曲政军、朱羽硕、梁士兵、辛来运。</w:t>
      </w:r>
    </w:p>
    <w:p w14:paraId="1F47CDD0">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本文件工作组：陈纪烨、杨春昆。</w:t>
      </w:r>
    </w:p>
    <w:p w14:paraId="20AF67C7">
      <w:pPr>
        <w:spacing w:before="112" w:line="360" w:lineRule="auto"/>
        <w:ind w:left="443"/>
        <w:rPr>
          <w:rFonts w:ascii="宋体" w:hAnsi="宋体" w:eastAsia="宋体" w:cs="宋体"/>
          <w:sz w:val="20"/>
          <w:szCs w:val="20"/>
          <w:lang w:eastAsia="zh-CN"/>
        </w:rPr>
      </w:pPr>
    </w:p>
    <w:p w14:paraId="042CEE26">
      <w:pPr>
        <w:spacing w:before="112" w:line="360" w:lineRule="auto"/>
        <w:ind w:left="443"/>
        <w:rPr>
          <w:rFonts w:ascii="宋体" w:hAnsi="宋体" w:eastAsia="宋体" w:cs="宋体"/>
          <w:sz w:val="20"/>
          <w:szCs w:val="20"/>
          <w:lang w:eastAsia="zh-CN"/>
        </w:rPr>
        <w:sectPr>
          <w:pgSz w:w="11906" w:h="16839"/>
          <w:pgMar w:top="1423" w:right="1731" w:bottom="1089" w:left="1785" w:header="0" w:footer="929" w:gutter="0"/>
          <w:pgNumType w:start="1"/>
          <w:cols w:space="720" w:num="1"/>
        </w:sectPr>
      </w:pPr>
    </w:p>
    <w:p w14:paraId="4AB8EBC4">
      <w:pPr>
        <w:pStyle w:val="5"/>
        <w:spacing w:before="65" w:line="228" w:lineRule="auto"/>
        <w:ind w:left="3725"/>
        <w:rPr>
          <w:lang w:eastAsia="zh-CN"/>
        </w:rPr>
      </w:pPr>
      <w:r>
        <w:rPr>
          <w:spacing w:val="-16"/>
          <w:lang w:eastAsia="zh-CN"/>
        </w:rPr>
        <w:t>引</w:t>
      </w:r>
      <w:r>
        <w:rPr>
          <w:spacing w:val="18"/>
          <w:lang w:eastAsia="zh-CN"/>
        </w:rPr>
        <w:t xml:space="preserve">  </w:t>
      </w:r>
      <w:r>
        <w:rPr>
          <w:spacing w:val="-16"/>
          <w:lang w:eastAsia="zh-CN"/>
        </w:rPr>
        <w:t>言</w:t>
      </w:r>
    </w:p>
    <w:p w14:paraId="33398E61">
      <w:pPr>
        <w:spacing w:before="63" w:line="265" w:lineRule="auto"/>
        <w:jc w:val="both"/>
        <w:rPr>
          <w:rFonts w:ascii="宋体" w:hAnsi="宋体" w:eastAsia="宋体" w:cs="宋体"/>
          <w:sz w:val="24"/>
          <w:szCs w:val="24"/>
          <w:lang w:eastAsia="zh-CN"/>
        </w:rPr>
      </w:pPr>
    </w:p>
    <w:p w14:paraId="4217E05A">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高血压是全世界心血管疾病、中风、残疾和死亡的主要危险因素，近年来，尽管高血压的知晓率、治疗率和控制率稳步提高，但仍有很大一部分高血压患者仍然不能通过常规降压治疗达到推荐的血压治疗目标。难治性高血压一直是高血压治疗领域的一大难题，是指在改善生活方式的基础上应用了可耐受的足够剂量且合理的3种降压药（包括一种噻嗪类利尿剂）至少治疗4周后，血压值仍在目标水平之上，或至少需要4种药才能使血压达标</w:t>
      </w:r>
      <w:r>
        <w:rPr>
          <w:rFonts w:hint="eastAsia" w:ascii="宋体" w:hAnsi="宋体" w:eastAsia="宋体" w:cs="宋体"/>
          <w:snapToGrid/>
          <w:kern w:val="2"/>
          <w:sz w:val="24"/>
          <w:szCs w:val="24"/>
          <w:vertAlign w:val="superscript"/>
          <w:lang w:eastAsia="zh-CN"/>
        </w:rPr>
        <w:t>[1]</w:t>
      </w:r>
      <w:r>
        <w:rPr>
          <w:rFonts w:hint="eastAsia" w:ascii="宋体" w:hAnsi="宋体" w:eastAsia="宋体" w:cs="宋体"/>
          <w:snapToGrid/>
          <w:kern w:val="2"/>
          <w:sz w:val="24"/>
          <w:szCs w:val="24"/>
          <w:lang w:eastAsia="zh-CN"/>
        </w:rPr>
        <w:t>。相较于普通的原发性高血压，难治性高血压对靶器官损害更严重，更易导致心力衰竭、心肌梗死、肾脏衰竭、脑卒中的发病，而且预后更差</w:t>
      </w:r>
      <w:r>
        <w:rPr>
          <w:rFonts w:hint="eastAsia" w:ascii="宋体" w:hAnsi="宋体" w:eastAsia="宋体" w:cs="宋体"/>
          <w:snapToGrid/>
          <w:kern w:val="2"/>
          <w:sz w:val="24"/>
          <w:szCs w:val="24"/>
          <w:vertAlign w:val="superscript"/>
          <w:lang w:eastAsia="zh-CN"/>
        </w:rPr>
        <w:t>[2]</w:t>
      </w:r>
      <w:r>
        <w:rPr>
          <w:rFonts w:hint="eastAsia" w:ascii="宋体" w:hAnsi="宋体" w:eastAsia="宋体" w:cs="宋体"/>
          <w:snapToGrid/>
          <w:kern w:val="2"/>
          <w:sz w:val="24"/>
          <w:szCs w:val="24"/>
          <w:lang w:eastAsia="zh-CN"/>
        </w:rPr>
        <w:t>。目前治疗方面，由于难治性高血压致病因素多，目前西医尚缺乏有效的特异性治疗药物，持续应用降压药物对难治性高血压的疗效并不理想，虽然压力反射激活疗法、去肾交感神经术、颈动脉体瘤切除术等手术疗法为临床治疗难治性高血压提供了新思路，但这些方法的有效性与安全性仍需要更多的证据支持。</w:t>
      </w:r>
    </w:p>
    <w:p w14:paraId="2906B09E">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中医学虽无难治性高血压病名，但根据其临床症状及发病特点，可将其归属于中医学“眩晕”等范畴。近年来，研究发现中医药联合西医常规治疗难治性高血压可以改善临床疗效且具有良好的安全性</w:t>
      </w:r>
      <w:r>
        <w:rPr>
          <w:rFonts w:hint="eastAsia" w:ascii="宋体" w:hAnsi="宋体" w:eastAsia="宋体" w:cs="宋体"/>
          <w:snapToGrid/>
          <w:kern w:val="2"/>
          <w:sz w:val="24"/>
          <w:szCs w:val="24"/>
          <w:vertAlign w:val="superscript"/>
          <w:lang w:eastAsia="zh-CN"/>
        </w:rPr>
        <w:t>[3]</w:t>
      </w:r>
      <w:r>
        <w:rPr>
          <w:rFonts w:hint="eastAsia" w:ascii="宋体" w:hAnsi="宋体" w:eastAsia="宋体" w:cs="宋体"/>
          <w:snapToGrid/>
          <w:kern w:val="2"/>
          <w:sz w:val="24"/>
          <w:szCs w:val="24"/>
          <w:lang w:eastAsia="zh-CN"/>
        </w:rPr>
        <w:t>，在应对难治性高血压时可中西结合，优势互补。但目前中医治疗难治性高血压缺少明确的证候分型和循证医学证据，使得临床对难治性高血压患者的诊治方案不够明确，不利于临床疗效的提高。因此，针对难治性高血压制定中西医结合的临床诊疗</w:t>
      </w:r>
      <w:bookmarkStart w:id="6" w:name="OLE_LINK8"/>
      <w:r>
        <w:rPr>
          <w:rFonts w:hint="eastAsia" w:ascii="宋体" w:hAnsi="宋体" w:eastAsia="宋体" w:cs="宋体"/>
          <w:snapToGrid/>
          <w:kern w:val="2"/>
          <w:sz w:val="24"/>
          <w:szCs w:val="24"/>
          <w:lang w:eastAsia="zh-CN"/>
        </w:rPr>
        <w:t>专家共识</w:t>
      </w:r>
      <w:bookmarkEnd w:id="6"/>
      <w:r>
        <w:rPr>
          <w:rFonts w:hint="eastAsia" w:ascii="宋体" w:hAnsi="宋体" w:eastAsia="宋体" w:cs="宋体"/>
          <w:snapToGrid/>
          <w:kern w:val="2"/>
          <w:sz w:val="24"/>
          <w:szCs w:val="24"/>
          <w:lang w:eastAsia="zh-CN"/>
        </w:rPr>
        <w:t xml:space="preserve">，提供临床药物和非药物疗法推荐意见，不仅有利于规范此类病人的诊疗方案，提高临床疗效，也为此类证型的研究提供了标准，对难治性高血压的防治具有重要意义。 </w:t>
      </w:r>
    </w:p>
    <w:p w14:paraId="00B261AA">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本专家共识适用于西医诊断为难治性高血压，中医诊断为眩晕的患者。主要围绕难治性高血压的定义、流行病学、发病机制、病因病机、临床表现、诊断标准、治疗原则、中西医综合干预的药物治疗及非药物疗法、预防调护等内容而制订，可供心病科、中医科、中西医结合科、综合内科医生、护理人员及患者参考使用。</w:t>
      </w:r>
    </w:p>
    <w:p w14:paraId="56595614">
      <w:pPr>
        <w:kinsoku/>
        <w:autoSpaceDE/>
        <w:autoSpaceDN/>
        <w:adjustRightInd/>
        <w:snapToGrid/>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br w:type="page"/>
      </w:r>
    </w:p>
    <w:p w14:paraId="3C481442">
      <w:pPr>
        <w:pStyle w:val="5"/>
        <w:spacing w:before="169" w:line="224" w:lineRule="auto"/>
        <w:jc w:val="center"/>
        <w:outlineLvl w:val="0"/>
        <w:rPr>
          <w:spacing w:val="59"/>
          <w:lang w:eastAsia="zh-CN"/>
        </w:rPr>
      </w:pPr>
      <w:bookmarkStart w:id="7" w:name="bookmark4"/>
      <w:bookmarkEnd w:id="7"/>
      <w:bookmarkStart w:id="8" w:name="bookmark3"/>
      <w:bookmarkEnd w:id="8"/>
      <w:r>
        <w:rPr>
          <w:rFonts w:hint="eastAsia"/>
          <w:spacing w:val="59"/>
          <w:lang w:eastAsia="zh-CN"/>
        </w:rPr>
        <w:t>难治性高血压中西医结合诊疗专家共识</w:t>
      </w:r>
    </w:p>
    <w:p w14:paraId="343E08DC">
      <w:pPr>
        <w:pStyle w:val="2"/>
        <w:rPr>
          <w:rFonts w:hint="default"/>
          <w:sz w:val="24"/>
          <w:szCs w:val="52"/>
        </w:rPr>
      </w:pPr>
      <w:bookmarkStart w:id="9" w:name="_Toc26956"/>
      <w:r>
        <w:rPr>
          <w:sz w:val="24"/>
          <w:szCs w:val="52"/>
        </w:rPr>
        <w:t>1 范围</w:t>
      </w:r>
      <w:bookmarkEnd w:id="9"/>
    </w:p>
    <w:p w14:paraId="4AE6B471">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本文件规定了难治性高血压的诊断，中医辨证分型、治法方药、中医传统疗法，调摄与预防等方面内容。</w:t>
      </w:r>
    </w:p>
    <w:p w14:paraId="0FA528B2">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本文件适用于指导难治性高血压的中医、中西医结合及西医诊疗。</w:t>
      </w:r>
    </w:p>
    <w:p w14:paraId="4E16FFBE">
      <w:pPr>
        <w:pStyle w:val="2"/>
        <w:rPr>
          <w:rFonts w:hint="default"/>
          <w:sz w:val="24"/>
          <w:szCs w:val="52"/>
        </w:rPr>
      </w:pPr>
      <w:bookmarkStart w:id="10" w:name="_Toc24868"/>
      <w:r>
        <w:rPr>
          <w:sz w:val="24"/>
          <w:szCs w:val="52"/>
        </w:rPr>
        <w:t>2 规范性引用文件</w:t>
      </w:r>
      <w:bookmarkEnd w:id="10"/>
    </w:p>
    <w:p w14:paraId="635DF603">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xml:space="preserve">下列文件对于本文件的应用是必不可少的。凡是注日期的引用文件，仅注日期的版本适用于本文件。 </w:t>
      </w:r>
    </w:p>
    <w:p w14:paraId="26B3B0B3">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xml:space="preserve">凡是不注日期的引用文件，其最新版本（包括所有的修订版本）适用于本文件。 </w:t>
      </w:r>
    </w:p>
    <w:p w14:paraId="568E942C">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xml:space="preserve">GB/T16751.1—1997 《中医临床诊疗术语·疾病部分》 </w:t>
      </w:r>
    </w:p>
    <w:p w14:paraId="36D75153">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GB/T16751.2—1997 《中医临床诊疗术语·证候部分》</w:t>
      </w:r>
    </w:p>
    <w:p w14:paraId="7D57A1DC">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xml:space="preserve">《国家基本医疗保险、工伤保险和生育保险药品目录（2017版）》 </w:t>
      </w:r>
    </w:p>
    <w:p w14:paraId="25E9646B">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《中华人民共和国药典（2020年版）》</w:t>
      </w:r>
    </w:p>
    <w:p w14:paraId="05BE1B24">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《中国高血压防治指南(2024年修订版)》</w:t>
      </w:r>
    </w:p>
    <w:p w14:paraId="6923E561">
      <w:pPr>
        <w:pStyle w:val="2"/>
        <w:rPr>
          <w:rFonts w:hint="default"/>
          <w:sz w:val="24"/>
          <w:szCs w:val="52"/>
        </w:rPr>
      </w:pPr>
      <w:bookmarkStart w:id="11" w:name="_Toc20774"/>
      <w:r>
        <w:rPr>
          <w:sz w:val="24"/>
          <w:szCs w:val="52"/>
        </w:rPr>
        <w:t>3 术语和定义</w:t>
      </w:r>
      <w:bookmarkEnd w:id="11"/>
    </w:p>
    <w:p w14:paraId="2123A803">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下列术语和定义适用于本文件。</w:t>
      </w:r>
    </w:p>
    <w:p w14:paraId="6FF13289">
      <w:pPr>
        <w:spacing w:line="360" w:lineRule="auto"/>
        <w:rPr>
          <w:rFonts w:ascii="Times New Roman" w:hAnsi="Times New Roman" w:cs="Times New Roman" w:eastAsiaTheme="majorEastAsia"/>
          <w:b/>
          <w:bCs/>
          <w:spacing w:val="-3"/>
          <w:lang w:eastAsia="zh-CN"/>
        </w:rPr>
      </w:pPr>
      <w:r>
        <w:rPr>
          <w:rFonts w:hint="eastAsia" w:ascii="黑体" w:hAnsi="黑体" w:eastAsia="黑体" w:cs="黑体"/>
          <w:spacing w:val="-3"/>
          <w:lang w:eastAsia="zh-CN"/>
        </w:rPr>
        <w:t>3.1 难治性高血压</w:t>
      </w:r>
    </w:p>
    <w:p w14:paraId="132C9B7F">
      <w:pPr>
        <w:spacing w:line="360" w:lineRule="auto"/>
        <w:ind w:firstLine="480" w:firstLineChars="200"/>
        <w:rPr>
          <w:rFonts w:ascii="宋体" w:hAnsi="宋体" w:eastAsia="宋体" w:cs="宋体"/>
          <w:sz w:val="18"/>
          <w:szCs w:val="18"/>
          <w:lang w:eastAsia="zh-CN" w:bidi="ar"/>
        </w:rPr>
      </w:pPr>
      <w:bookmarkStart w:id="12" w:name="OLE_LINK1"/>
      <w:r>
        <w:rPr>
          <w:rFonts w:hint="eastAsia" w:ascii="宋体" w:hAnsi="宋体" w:eastAsia="宋体" w:cs="宋体"/>
          <w:snapToGrid/>
          <w:kern w:val="2"/>
          <w:sz w:val="24"/>
          <w:szCs w:val="24"/>
          <w:lang w:eastAsia="zh-CN"/>
        </w:rPr>
        <w:t>在改善生活方式的基础上应用了可耐受的足够剂量且合理的3种降压药(包括一种噻嗪类利尿剂)至少治疗4周后，诊室和诊室外[包括家庭血压监测(home blood pressure monitoring, HBPM)和/或动态血压监测(ambulatory blood pressure monitoring, ABPM)]血压值仍在目标水平之上，或至少需要4种药才能使血压达标，在排除继发性高血压后，可称为难治性高血压</w:t>
      </w:r>
      <w:bookmarkEnd w:id="12"/>
      <w:r>
        <w:rPr>
          <w:rFonts w:hint="eastAsia" w:ascii="宋体" w:hAnsi="宋体" w:eastAsia="宋体" w:cs="宋体"/>
          <w:snapToGrid/>
          <w:kern w:val="2"/>
          <w:sz w:val="24"/>
          <w:szCs w:val="24"/>
          <w:vertAlign w:val="superscript"/>
          <w:lang w:eastAsia="zh-CN"/>
        </w:rPr>
        <w:t>[1]</w:t>
      </w:r>
      <w:r>
        <w:rPr>
          <w:rFonts w:hint="eastAsia" w:ascii="宋体" w:hAnsi="宋体" w:eastAsia="宋体" w:cs="宋体"/>
          <w:snapToGrid/>
          <w:kern w:val="2"/>
          <w:sz w:val="24"/>
          <w:szCs w:val="24"/>
          <w:lang w:eastAsia="zh-CN"/>
        </w:rPr>
        <w:t>。</w:t>
      </w:r>
    </w:p>
    <w:p w14:paraId="31561601">
      <w:pPr>
        <w:spacing w:line="360" w:lineRule="auto"/>
        <w:rPr>
          <w:rFonts w:ascii="Times New Roman" w:hAnsi="Times New Roman" w:cs="Times New Roman" w:eastAsiaTheme="majorEastAsia"/>
          <w:b/>
          <w:bCs/>
          <w:lang w:eastAsia="zh-CN" w:bidi="ar"/>
        </w:rPr>
      </w:pPr>
      <w:r>
        <w:rPr>
          <w:rFonts w:hint="eastAsia" w:ascii="黑体" w:hAnsi="黑体" w:eastAsia="黑体" w:cs="黑体"/>
          <w:spacing w:val="15"/>
          <w:lang w:eastAsia="zh-CN"/>
        </w:rPr>
        <w:t>3.2 辨证</w:t>
      </w:r>
    </w:p>
    <w:p w14:paraId="4E96E70D">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以中医学理论为指导，对四诊所得的资料进行综合分析，辨别为何种证候的思维方法，是中医临床认识与诊断病证的重要方法。</w:t>
      </w:r>
    </w:p>
    <w:p w14:paraId="0E2AAA87">
      <w:pPr>
        <w:widowControl w:val="0"/>
        <w:kinsoku/>
        <w:autoSpaceDE/>
        <w:autoSpaceDN/>
        <w:adjustRightInd/>
        <w:snapToGrid/>
        <w:spacing w:line="360" w:lineRule="auto"/>
        <w:ind w:firstLine="480" w:firstLineChars="200"/>
        <w:textAlignment w:val="auto"/>
        <w:rPr>
          <w:rFonts w:ascii="宋体" w:hAnsi="宋体" w:eastAsia="宋体" w:cs="宋体"/>
          <w:sz w:val="18"/>
          <w:szCs w:val="18"/>
          <w:lang w:eastAsia="zh-CN" w:bidi="ar"/>
        </w:rPr>
      </w:pPr>
      <w:r>
        <w:rPr>
          <w:rFonts w:hint="eastAsia" w:ascii="宋体" w:hAnsi="宋体" w:eastAsia="宋体" w:cs="宋体"/>
          <w:snapToGrid/>
          <w:kern w:val="2"/>
          <w:sz w:val="24"/>
          <w:szCs w:val="24"/>
          <w:lang w:eastAsia="zh-CN"/>
        </w:rPr>
        <w:t>[《中医药学名词》2004版，术语及定义04.546]。</w:t>
      </w:r>
    </w:p>
    <w:p w14:paraId="15DCB77D">
      <w:pPr>
        <w:pStyle w:val="2"/>
        <w:rPr>
          <w:rFonts w:hint="default"/>
          <w:sz w:val="24"/>
          <w:szCs w:val="52"/>
        </w:rPr>
      </w:pPr>
      <w:bookmarkStart w:id="13" w:name="_Toc76212786"/>
      <w:bookmarkStart w:id="14" w:name="_Toc12850"/>
      <w:r>
        <w:rPr>
          <w:sz w:val="24"/>
          <w:szCs w:val="52"/>
        </w:rPr>
        <w:t>4 流行病学特点</w:t>
      </w:r>
      <w:bookmarkEnd w:id="13"/>
      <w:bookmarkEnd w:id="14"/>
    </w:p>
    <w:p w14:paraId="4F7803F6">
      <w:pPr>
        <w:widowControl w:val="0"/>
        <w:kinsoku/>
        <w:autoSpaceDE/>
        <w:autoSpaceDN/>
        <w:adjustRightInd/>
        <w:snapToGrid/>
        <w:spacing w:line="360" w:lineRule="auto"/>
        <w:ind w:firstLine="480" w:firstLineChars="200"/>
        <w:jc w:val="both"/>
        <w:textAlignment w:val="auto"/>
        <w:rPr>
          <w:rFonts w:ascii="宋体" w:hAnsi="宋体" w:eastAsia="宋体" w:cs="宋体"/>
          <w:snapToGrid/>
          <w:kern w:val="2"/>
          <w:sz w:val="24"/>
          <w:szCs w:val="24"/>
          <w:lang w:eastAsia="zh-CN"/>
        </w:rPr>
      </w:pPr>
      <w:bookmarkStart w:id="15" w:name="OLE_LINK2"/>
      <w:r>
        <w:rPr>
          <w:rFonts w:hint="eastAsia" w:ascii="宋体" w:hAnsi="宋体" w:eastAsia="宋体" w:cs="宋体"/>
          <w:snapToGrid/>
          <w:kern w:val="2"/>
          <w:sz w:val="24"/>
          <w:szCs w:val="24"/>
          <w:lang w:eastAsia="zh-CN"/>
        </w:rPr>
        <w:t>一项对1991—2017年全球91个研究共3 207 911例接受治疗的高血压患者的荟萃分析显示：在接受治疗的高血压患者中真性难治性高血压患者可达10.3%</w:t>
      </w:r>
      <w:r>
        <w:rPr>
          <w:rFonts w:hint="eastAsia" w:ascii="宋体" w:hAnsi="宋体" w:eastAsia="宋体" w:cs="宋体"/>
          <w:snapToGrid/>
          <w:kern w:val="2"/>
          <w:sz w:val="24"/>
          <w:szCs w:val="24"/>
          <w:vertAlign w:val="superscript"/>
          <w:lang w:eastAsia="zh-CN"/>
        </w:rPr>
        <w:t>[4]</w:t>
      </w:r>
      <w:r>
        <w:rPr>
          <w:rFonts w:hint="eastAsia" w:ascii="宋体" w:hAnsi="宋体" w:eastAsia="宋体" w:cs="宋体"/>
          <w:snapToGrid/>
          <w:kern w:val="2"/>
          <w:sz w:val="24"/>
          <w:szCs w:val="24"/>
          <w:lang w:eastAsia="zh-CN"/>
        </w:rPr>
        <w:t>。美国的研究显示：高血压患者中表观难治性高血压（缺少药物剂量、依从性或诊室外血压数据评价的难治性高血压患者）可达19.7%</w:t>
      </w:r>
      <w:r>
        <w:rPr>
          <w:rFonts w:hint="eastAsia" w:ascii="宋体" w:hAnsi="宋体" w:eastAsia="宋体" w:cs="宋体"/>
          <w:snapToGrid/>
          <w:kern w:val="2"/>
          <w:sz w:val="24"/>
          <w:szCs w:val="24"/>
          <w:vertAlign w:val="superscript"/>
          <w:lang w:eastAsia="zh-CN"/>
        </w:rPr>
        <w:t>[5]</w:t>
      </w:r>
      <w:r>
        <w:rPr>
          <w:rFonts w:hint="eastAsia" w:ascii="宋体" w:hAnsi="宋体" w:eastAsia="宋体" w:cs="宋体"/>
          <w:snapToGrid/>
          <w:kern w:val="2"/>
          <w:sz w:val="24"/>
          <w:szCs w:val="24"/>
          <w:lang w:eastAsia="zh-CN"/>
        </w:rPr>
        <w:t>。慢性肾脏病伴高血压的患者中表观难治性高血压的比例更高，可达30%</w:t>
      </w:r>
      <w:r>
        <w:rPr>
          <w:rFonts w:hint="eastAsia" w:ascii="宋体" w:hAnsi="宋体" w:eastAsia="宋体" w:cs="宋体"/>
          <w:snapToGrid/>
          <w:kern w:val="2"/>
          <w:sz w:val="24"/>
          <w:szCs w:val="24"/>
          <w:vertAlign w:val="superscript"/>
          <w:lang w:eastAsia="zh-CN"/>
        </w:rPr>
        <w:t>[6]</w:t>
      </w:r>
      <w:r>
        <w:rPr>
          <w:rFonts w:hint="eastAsia" w:ascii="宋体" w:hAnsi="宋体" w:eastAsia="宋体" w:cs="宋体"/>
          <w:snapToGrid/>
          <w:kern w:val="2"/>
          <w:sz w:val="24"/>
          <w:szCs w:val="24"/>
          <w:lang w:eastAsia="zh-CN"/>
        </w:rPr>
        <w:t>。我国有关难治性高血压的流行病学数据较少。2012年7月至2015年12月对我国6个省和3个直辖市平均年龄（66.4±3.6）岁老年高血压患者3 774例的抽样调查发现，表观难治性高血压(未行动态血压监测)的患病率约为5.97%</w:t>
      </w:r>
      <w:r>
        <w:rPr>
          <w:rFonts w:hint="eastAsia" w:ascii="宋体" w:hAnsi="宋体" w:eastAsia="宋体" w:cs="宋体"/>
          <w:snapToGrid/>
          <w:kern w:val="2"/>
          <w:sz w:val="24"/>
          <w:szCs w:val="24"/>
          <w:vertAlign w:val="superscript"/>
          <w:lang w:eastAsia="zh-CN"/>
        </w:rPr>
        <w:t>[7]</w:t>
      </w:r>
      <w:r>
        <w:rPr>
          <w:rFonts w:hint="eastAsia" w:ascii="宋体" w:hAnsi="宋体" w:eastAsia="宋体" w:cs="宋体"/>
          <w:snapToGrid/>
          <w:kern w:val="2"/>
          <w:sz w:val="24"/>
          <w:szCs w:val="24"/>
          <w:lang w:eastAsia="zh-CN"/>
        </w:rPr>
        <w:t>。</w:t>
      </w:r>
    </w:p>
    <w:bookmarkEnd w:id="15"/>
    <w:p w14:paraId="4A3CCE22">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以上数据表明，难治性高血压的患病率和发病率高，患病人群基数大，如何科学防治难治性高血压，具有重要意义。</w:t>
      </w:r>
    </w:p>
    <w:p w14:paraId="19BCB90F">
      <w:pPr>
        <w:pStyle w:val="2"/>
        <w:rPr>
          <w:rFonts w:hint="default"/>
          <w:sz w:val="24"/>
          <w:szCs w:val="52"/>
        </w:rPr>
      </w:pPr>
      <w:bookmarkStart w:id="16" w:name="_Toc5321"/>
      <w:r>
        <w:rPr>
          <w:sz w:val="24"/>
          <w:szCs w:val="52"/>
        </w:rPr>
        <w:t>5 西医诊断</w:t>
      </w:r>
      <w:bookmarkEnd w:id="16"/>
    </w:p>
    <w:p w14:paraId="78142B98">
      <w:pPr>
        <w:pStyle w:val="18"/>
        <w:numPr>
          <w:ilvl w:val="1"/>
          <w:numId w:val="0"/>
        </w:numPr>
        <w:spacing w:before="156" w:after="156"/>
        <w:ind w:left="426"/>
        <w:rPr>
          <w:rFonts w:hAnsi="黑体" w:cs="黑体"/>
          <w:sz w:val="24"/>
          <w:szCs w:val="24"/>
        </w:rPr>
      </w:pPr>
      <w:r>
        <w:rPr>
          <w:rFonts w:hint="eastAsia" w:hAnsi="黑体" w:cs="黑体"/>
          <w:sz w:val="24"/>
          <w:szCs w:val="24"/>
        </w:rPr>
        <w:t>5.1 疾病诊断标准</w:t>
      </w:r>
    </w:p>
    <w:p w14:paraId="38D95A6F">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bookmarkStart w:id="17" w:name="OLE_LINK3"/>
      <w:r>
        <w:rPr>
          <w:rFonts w:hint="eastAsia" w:ascii="宋体" w:hAnsi="宋体" w:eastAsia="宋体" w:cs="宋体"/>
          <w:snapToGrid/>
          <w:kern w:val="2"/>
          <w:sz w:val="24"/>
          <w:szCs w:val="24"/>
          <w:lang w:eastAsia="zh-CN"/>
        </w:rPr>
        <w:t>参考《中国高血压防治指南(2024年修订版)》</w:t>
      </w:r>
      <w:r>
        <w:rPr>
          <w:rFonts w:hint="eastAsia" w:ascii="宋体" w:hAnsi="宋体" w:eastAsia="宋体" w:cs="宋体"/>
          <w:snapToGrid/>
          <w:kern w:val="2"/>
          <w:sz w:val="24"/>
          <w:szCs w:val="24"/>
          <w:vertAlign w:val="superscript"/>
          <w:lang w:eastAsia="zh-CN"/>
        </w:rPr>
        <w:t>[1]</w:t>
      </w:r>
      <w:r>
        <w:rPr>
          <w:rFonts w:hint="eastAsia" w:ascii="宋体" w:hAnsi="宋体" w:eastAsia="宋体" w:cs="宋体"/>
          <w:snapToGrid/>
          <w:kern w:val="2"/>
          <w:sz w:val="24"/>
          <w:szCs w:val="24"/>
          <w:lang w:eastAsia="zh-CN"/>
        </w:rPr>
        <w:t>，综合病史、症状、体征和体格检查及辅助检查进行诊断。</w:t>
      </w:r>
    </w:p>
    <w:p w14:paraId="056F23AD">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在改善生活方式的基础上应用了可耐受的足够剂量且合理的3种降压药(包括一种噻嗪类利尿剂)至少治疗4周后，诊室和诊室外[包括家庭血压监测(HBPM)和/或动态血压监测(ABPM)]血压值仍在目标水平之上，或至少需要4种药才能使血压达标，在排除继发性高血压后，可称为难治性高血压</w:t>
      </w:r>
      <w:r>
        <w:rPr>
          <w:rFonts w:hint="eastAsia" w:ascii="宋体" w:hAnsi="宋体" w:eastAsia="宋体" w:cs="宋体"/>
          <w:snapToGrid/>
          <w:kern w:val="2"/>
          <w:sz w:val="24"/>
          <w:szCs w:val="24"/>
          <w:vertAlign w:val="superscript"/>
          <w:lang w:eastAsia="zh-CN"/>
        </w:rPr>
        <w:t>[1]</w:t>
      </w:r>
      <w:r>
        <w:rPr>
          <w:rFonts w:hint="eastAsia" w:ascii="宋体" w:hAnsi="宋体" w:eastAsia="宋体" w:cs="宋体"/>
          <w:snapToGrid/>
          <w:kern w:val="2"/>
          <w:sz w:val="24"/>
          <w:szCs w:val="24"/>
          <w:lang w:eastAsia="zh-CN"/>
        </w:rPr>
        <w:t>。</w:t>
      </w:r>
    </w:p>
    <w:bookmarkEnd w:id="17"/>
    <w:p w14:paraId="13B8650A">
      <w:pPr>
        <w:pStyle w:val="2"/>
        <w:rPr>
          <w:rFonts w:hint="default"/>
          <w:sz w:val="24"/>
          <w:szCs w:val="52"/>
        </w:rPr>
      </w:pPr>
      <w:bookmarkStart w:id="18" w:name="_Toc156338967"/>
      <w:bookmarkStart w:id="19" w:name="_Toc20738"/>
      <w:r>
        <w:rPr>
          <w:sz w:val="24"/>
          <w:szCs w:val="52"/>
        </w:rPr>
        <w:t xml:space="preserve">6 </w:t>
      </w:r>
      <w:bookmarkEnd w:id="18"/>
      <w:r>
        <w:rPr>
          <w:sz w:val="24"/>
          <w:szCs w:val="52"/>
        </w:rPr>
        <w:t>病因病机</w:t>
      </w:r>
      <w:bookmarkEnd w:id="19"/>
    </w:p>
    <w:p w14:paraId="2408E529">
      <w:pPr>
        <w:widowControl w:val="0"/>
        <w:kinsoku/>
        <w:autoSpaceDE/>
        <w:autoSpaceDN/>
        <w:adjustRightInd/>
        <w:snapToGrid/>
        <w:spacing w:line="360" w:lineRule="auto"/>
        <w:ind w:firstLine="480" w:firstLineChars="200"/>
        <w:textAlignment w:val="auto"/>
        <w:rPr>
          <w:color w:val="FF0000"/>
          <w:sz w:val="24"/>
          <w:szCs w:val="52"/>
          <w:lang w:eastAsia="zh-CN"/>
        </w:rPr>
      </w:pPr>
      <w:r>
        <w:rPr>
          <w:rFonts w:hint="eastAsia" w:ascii="宋体" w:hAnsi="宋体" w:eastAsia="宋体" w:cs="宋体"/>
          <w:snapToGrid/>
          <w:kern w:val="2"/>
          <w:sz w:val="24"/>
          <w:szCs w:val="24"/>
          <w:lang w:eastAsia="zh-CN"/>
        </w:rPr>
        <w:t>难治性高血压在中医学理论体系中暂无相关病名，根据难治性高血压的临床特点，一般多将其归为“头痛”、“眩晕”等范畴。其病在清窍，和肝、脾、肾三脏相关，痰、瘀、风、火、虚为相关致病因素。虚证多见，如阴阳两虚、脑髓失充而致清窍失于濡养；亦有实证表现，如肝阳上亢、肝火上炎、痰湿中阻、瘀血阻窍而致清窍失利，临证多为本虚而标实、虚实夹杂。</w:t>
      </w:r>
      <w:bookmarkStart w:id="20" w:name="_Toc20687"/>
    </w:p>
    <w:p w14:paraId="044C160A">
      <w:pPr>
        <w:pStyle w:val="2"/>
        <w:rPr>
          <w:rFonts w:hint="default"/>
          <w:color w:val="000000" w:themeColor="text1"/>
          <w:sz w:val="24"/>
          <w:szCs w:val="52"/>
          <w14:textFill>
            <w14:solidFill>
              <w14:schemeClr w14:val="tx1"/>
            </w14:solidFill>
          </w14:textFill>
        </w:rPr>
      </w:pPr>
      <w:r>
        <w:rPr>
          <w:color w:val="000000" w:themeColor="text1"/>
          <w:sz w:val="24"/>
          <w:szCs w:val="52"/>
          <w14:textFill>
            <w14:solidFill>
              <w14:schemeClr w14:val="tx1"/>
            </w14:solidFill>
          </w14:textFill>
        </w:rPr>
        <w:t>7 辨证分型</w:t>
      </w:r>
      <w:bookmarkEnd w:id="20"/>
    </w:p>
    <w:p w14:paraId="75F61D53">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通过流行病学调查，难治性高血压患者证候分类可以分为痰湿壅盛证、肝火亢盛证、瘀血阻络证、阴虚阳亢证、阴阳两虚证</w:t>
      </w:r>
      <w:r>
        <w:rPr>
          <w:rFonts w:hint="eastAsia" w:ascii="宋体" w:hAnsi="宋体" w:eastAsia="宋体" w:cs="宋体"/>
          <w:b/>
          <w:bCs/>
          <w:snapToGrid/>
          <w:kern w:val="2"/>
          <w:sz w:val="24"/>
          <w:szCs w:val="24"/>
          <w:lang w:eastAsia="zh-CN"/>
        </w:rPr>
        <w:t>（共识建议）</w:t>
      </w:r>
      <w:r>
        <w:rPr>
          <w:rFonts w:hint="eastAsia" w:ascii="宋体" w:hAnsi="宋体" w:eastAsia="宋体" w:cs="宋体"/>
          <w:snapToGrid/>
          <w:kern w:val="2"/>
          <w:sz w:val="24"/>
          <w:szCs w:val="24"/>
          <w:lang w:eastAsia="zh-CN"/>
        </w:rPr>
        <w:t>。</w:t>
      </w:r>
    </w:p>
    <w:p w14:paraId="7DCFF2FB">
      <w:pPr>
        <w:pStyle w:val="18"/>
        <w:numPr>
          <w:ilvl w:val="1"/>
          <w:numId w:val="0"/>
        </w:numPr>
        <w:spacing w:before="156" w:after="156"/>
        <w:ind w:left="426"/>
        <w:rPr>
          <w:rFonts w:hAnsi="黑体" w:cs="黑体"/>
          <w:sz w:val="24"/>
          <w:szCs w:val="24"/>
        </w:rPr>
      </w:pPr>
      <w:r>
        <w:rPr>
          <w:rFonts w:hint="eastAsia" w:hAnsi="黑体" w:cs="黑体"/>
          <w:sz w:val="24"/>
          <w:szCs w:val="24"/>
        </w:rPr>
        <w:t>7.1 痰湿壅盛证</w:t>
      </w:r>
    </w:p>
    <w:p w14:paraId="2DA994E0">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头晕头胀，胸闷心悸，肢体困重，形体肥胖，腹部胀满，口黏腻，大便溏薄，舌苔白腻或厚腻，舌质淡胖，边有齿痕，脉滑。</w:t>
      </w:r>
    </w:p>
    <w:p w14:paraId="5DC11B6E">
      <w:pPr>
        <w:pStyle w:val="18"/>
        <w:numPr>
          <w:ilvl w:val="1"/>
          <w:numId w:val="0"/>
        </w:numPr>
        <w:spacing w:before="156" w:after="156"/>
        <w:ind w:left="426"/>
        <w:rPr>
          <w:rFonts w:hAnsi="黑体" w:cs="黑体"/>
          <w:sz w:val="24"/>
          <w:szCs w:val="24"/>
        </w:rPr>
      </w:pPr>
      <w:r>
        <w:rPr>
          <w:rFonts w:hint="eastAsia" w:hAnsi="黑体" w:cs="黑体"/>
          <w:sz w:val="24"/>
          <w:szCs w:val="24"/>
        </w:rPr>
        <w:t>7.2 肝火亢盛证</w:t>
      </w:r>
    </w:p>
    <w:p w14:paraId="544644CB">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头痛眩晕，面红目赤，急躁易怒，失眠多梦，口苦口干，胁肋胀痛，便秘尿黄，舌质红，舌苔黄，脉弦数。</w:t>
      </w:r>
    </w:p>
    <w:p w14:paraId="26CA06ED">
      <w:pPr>
        <w:pStyle w:val="18"/>
        <w:numPr>
          <w:ilvl w:val="1"/>
          <w:numId w:val="0"/>
        </w:numPr>
        <w:spacing w:before="156" w:after="156"/>
        <w:ind w:left="426"/>
        <w:rPr>
          <w:rFonts w:hAnsi="黑体" w:cs="黑体"/>
          <w:sz w:val="24"/>
          <w:szCs w:val="24"/>
        </w:rPr>
      </w:pPr>
      <w:bookmarkStart w:id="21" w:name="_Hlk81509708"/>
      <w:r>
        <w:rPr>
          <w:rFonts w:hint="eastAsia" w:hAnsi="黑体" w:cs="黑体"/>
          <w:sz w:val="24"/>
          <w:szCs w:val="24"/>
        </w:rPr>
        <w:t>7.3 瘀血阻络证</w:t>
      </w:r>
    </w:p>
    <w:bookmarkEnd w:id="21"/>
    <w:p w14:paraId="2F786A25">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头痛如刺，胸部闷痛或刺痛，面色晦暗，口唇紫暗，肢体麻木，舌质紫暗，或有瘀点、瘀斑，舌下脉络迂曲、增粗，脉弦涩或结代。</w:t>
      </w:r>
    </w:p>
    <w:p w14:paraId="398CE230">
      <w:pPr>
        <w:pStyle w:val="18"/>
        <w:widowControl w:val="0"/>
        <w:numPr>
          <w:ilvl w:val="1"/>
          <w:numId w:val="0"/>
        </w:numPr>
        <w:spacing w:before="156" w:after="156" w:line="360" w:lineRule="auto"/>
        <w:ind w:firstLine="480" w:firstLineChars="200"/>
        <w:rPr>
          <w:rFonts w:hAnsi="黑体" w:cs="黑体"/>
          <w:sz w:val="24"/>
          <w:szCs w:val="24"/>
        </w:rPr>
      </w:pPr>
      <w:r>
        <w:rPr>
          <w:rFonts w:hint="eastAsia" w:hAnsi="黑体" w:cs="黑体"/>
          <w:color w:val="000000"/>
          <w:sz w:val="24"/>
          <w:szCs w:val="24"/>
        </w:rPr>
        <w:t xml:space="preserve">7.4 </w:t>
      </w:r>
      <w:r>
        <w:rPr>
          <w:rFonts w:hint="eastAsia" w:hAnsi="黑体" w:cs="黑体"/>
          <w:sz w:val="24"/>
          <w:szCs w:val="24"/>
        </w:rPr>
        <w:t>阴虚阳亢证</w:t>
      </w:r>
    </w:p>
    <w:p w14:paraId="6CCE0F9F">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头晕目眩，头痛且胀，急躁易怒，失眠多梦，腰膝酸软，五心烦热，咽干口燥，舌质红，少苔或无苔，脉弦细数。</w:t>
      </w:r>
    </w:p>
    <w:p w14:paraId="383A2BD7">
      <w:pPr>
        <w:widowControl w:val="0"/>
        <w:kinsoku/>
        <w:autoSpaceDE/>
        <w:autoSpaceDN/>
        <w:adjustRightInd/>
        <w:snapToGrid/>
        <w:spacing w:line="360" w:lineRule="auto"/>
        <w:ind w:firstLine="480" w:firstLineChars="200"/>
        <w:textAlignment w:val="auto"/>
        <w:rPr>
          <w:rFonts w:ascii="黑体" w:hAnsi="黑体" w:eastAsia="黑体" w:cs="黑体"/>
          <w:snapToGrid/>
          <w:color w:val="auto"/>
          <w:sz w:val="24"/>
          <w:szCs w:val="24"/>
          <w:lang w:eastAsia="zh-CN"/>
        </w:rPr>
      </w:pPr>
      <w:r>
        <w:rPr>
          <w:rFonts w:hint="eastAsia" w:ascii="黑体" w:hAnsi="黑体" w:eastAsia="黑体" w:cs="黑体"/>
          <w:snapToGrid/>
          <w:color w:val="auto"/>
          <w:sz w:val="24"/>
          <w:szCs w:val="24"/>
          <w:lang w:eastAsia="zh-CN"/>
        </w:rPr>
        <w:t>7.5 阴阳两虚证</w:t>
      </w:r>
    </w:p>
    <w:p w14:paraId="2AB0B24B">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头晕耳鸣，畏寒肢冷，神疲乏力，视物模糊，心悸气短，夜尿频多，尿少浮肿，舌质淡胖，或有齿痕，舌苔薄白或白腻，脉沉细弱或沉迟无力。</w:t>
      </w:r>
    </w:p>
    <w:p w14:paraId="57B4C342">
      <w:pPr>
        <w:pStyle w:val="2"/>
        <w:rPr>
          <w:rFonts w:hint="default"/>
          <w:sz w:val="24"/>
          <w:szCs w:val="52"/>
        </w:rPr>
      </w:pPr>
      <w:bookmarkStart w:id="22" w:name="_Toc21168"/>
      <w:bookmarkStart w:id="23" w:name="_Toc76212797"/>
      <w:r>
        <w:rPr>
          <w:sz w:val="24"/>
          <w:szCs w:val="52"/>
        </w:rPr>
        <w:t>8 中西医综合干预和推荐方案</w:t>
      </w:r>
      <w:bookmarkEnd w:id="22"/>
      <w:bookmarkEnd w:id="23"/>
    </w:p>
    <w:p w14:paraId="4CB396EA">
      <w:pPr>
        <w:pStyle w:val="18"/>
        <w:numPr>
          <w:ilvl w:val="1"/>
          <w:numId w:val="0"/>
        </w:numPr>
        <w:spacing w:before="156" w:after="156"/>
        <w:ind w:left="426"/>
        <w:rPr>
          <w:rFonts w:hAnsi="黑体" w:cs="黑体"/>
          <w:sz w:val="24"/>
          <w:szCs w:val="24"/>
        </w:rPr>
      </w:pPr>
      <w:r>
        <w:rPr>
          <w:rFonts w:hint="eastAsia" w:hAnsi="黑体" w:cs="黑体"/>
          <w:sz w:val="24"/>
          <w:szCs w:val="24"/>
        </w:rPr>
        <w:t>8.1 干预原则</w:t>
      </w:r>
    </w:p>
    <w:p w14:paraId="20B163FB">
      <w:pPr>
        <w:widowControl w:val="0"/>
        <w:kinsoku/>
        <w:autoSpaceDE/>
        <w:autoSpaceDN/>
        <w:adjustRightInd/>
        <w:snapToGrid/>
        <w:spacing w:line="360" w:lineRule="auto"/>
        <w:ind w:firstLine="480" w:firstLineChars="200"/>
        <w:jc w:val="both"/>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对于</w:t>
      </w:r>
      <w:bookmarkStart w:id="24" w:name="OLE_LINK6"/>
      <w:r>
        <w:rPr>
          <w:rFonts w:hint="eastAsia" w:ascii="宋体" w:hAnsi="宋体" w:eastAsia="宋体" w:cs="宋体"/>
          <w:snapToGrid/>
          <w:kern w:val="2"/>
          <w:sz w:val="24"/>
          <w:szCs w:val="24"/>
          <w:lang w:eastAsia="zh-CN"/>
        </w:rPr>
        <w:t>难治性高血压</w:t>
      </w:r>
      <w:bookmarkEnd w:id="24"/>
      <w:r>
        <w:rPr>
          <w:rFonts w:hint="eastAsia" w:ascii="宋体" w:hAnsi="宋体" w:eastAsia="宋体" w:cs="宋体"/>
          <w:snapToGrid/>
          <w:kern w:val="2"/>
          <w:sz w:val="24"/>
          <w:szCs w:val="24"/>
          <w:lang w:eastAsia="zh-CN"/>
        </w:rPr>
        <w:t>病人群应做到达标、平稳、综合管理。①根据难治性高血压的病情、个人需求、心理及家庭等因素进行个性化干预，达到降压目标。②通过社区常规随访、综合医院阶段性诊疗和日常自我管理相结合的方式，实现血压的长期稳定。③采用非药物治疗、药物治疗、自我管理及支持等多种方法进行综合干预。④选择降压药物时应综合考虑其伴随合并症情况；此外，对于已患心血管疾病的患者及具有某些危险因素的患者，应考虑给予相应的治疗并调整降压目标，以降低心血管疾病再发及死亡风险。其中，中医药干预难治性高血压病以补虚泻实、调整阴阳为基本原则。</w:t>
      </w:r>
    </w:p>
    <w:p w14:paraId="505546E9">
      <w:pPr>
        <w:pStyle w:val="18"/>
        <w:numPr>
          <w:ilvl w:val="1"/>
          <w:numId w:val="0"/>
        </w:numPr>
        <w:spacing w:before="156" w:after="156"/>
        <w:ind w:left="426"/>
        <w:rPr>
          <w:rFonts w:hAnsi="黑体" w:cs="黑体"/>
          <w:sz w:val="24"/>
          <w:szCs w:val="24"/>
        </w:rPr>
      </w:pPr>
      <w:r>
        <w:rPr>
          <w:rFonts w:hint="eastAsia" w:hAnsi="黑体" w:cs="黑体"/>
          <w:sz w:val="24"/>
          <w:szCs w:val="24"/>
        </w:rPr>
        <w:t xml:space="preserve">8.2 </w:t>
      </w:r>
      <w:bookmarkStart w:id="25" w:name="_Hlk198314994"/>
      <w:r>
        <w:rPr>
          <w:rFonts w:hint="eastAsia"/>
        </w:rPr>
        <w:t>治疗性生活方式干预</w:t>
      </w:r>
      <w:bookmarkEnd w:id="25"/>
    </w:p>
    <w:p w14:paraId="728E315B">
      <w:pPr>
        <w:widowControl w:val="0"/>
        <w:kinsoku/>
        <w:autoSpaceDE/>
        <w:autoSpaceDN/>
        <w:adjustRightInd/>
        <w:snapToGrid/>
        <w:spacing w:line="360" w:lineRule="auto"/>
        <w:ind w:firstLine="480" w:firstLineChars="200"/>
        <w:jc w:val="both"/>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高血压患者的治疗性生活方式干预包括合理膳食，减少钠盐摄入，控制体重，不吸烟，限制饮酒，运动干预，减轻精神压力，健康睡眠等方面内容</w:t>
      </w:r>
      <w:r>
        <w:rPr>
          <w:rFonts w:hint="eastAsia" w:ascii="宋体" w:hAnsi="宋体" w:eastAsia="宋体" w:cs="宋体"/>
          <w:snapToGrid/>
          <w:kern w:val="2"/>
          <w:sz w:val="24"/>
          <w:szCs w:val="24"/>
          <w:vertAlign w:val="superscript"/>
          <w:lang w:eastAsia="zh-CN"/>
        </w:rPr>
        <w:t>[1]</w:t>
      </w:r>
      <w:r>
        <w:rPr>
          <w:rFonts w:hint="eastAsia" w:ascii="宋体" w:hAnsi="宋体" w:eastAsia="宋体" w:cs="宋体"/>
          <w:snapToGrid/>
          <w:kern w:val="2"/>
          <w:sz w:val="24"/>
          <w:szCs w:val="24"/>
          <w:lang w:eastAsia="zh-CN"/>
        </w:rPr>
        <w:t>，在治疗性生活方式干预的同时可配合中医养生调摄。</w:t>
      </w:r>
    </w:p>
    <w:p w14:paraId="540872A8">
      <w:pPr>
        <w:widowControl w:val="0"/>
        <w:kinsoku/>
        <w:autoSpaceDE/>
        <w:autoSpaceDN/>
        <w:adjustRightInd/>
        <w:snapToGrid/>
        <w:spacing w:line="360" w:lineRule="auto"/>
        <w:ind w:firstLine="480" w:firstLineChars="200"/>
        <w:jc w:val="both"/>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难治性高血压患者应采取各种措施，限制钠盐摄入量，建议钠的摄入量</w:t>
      </w:r>
      <w:r>
        <w:rPr>
          <w:rFonts w:ascii="宋体" w:hAnsi="宋体" w:eastAsia="宋体" w:cs="宋体"/>
          <w:snapToGrid/>
          <w:kern w:val="2"/>
          <w:sz w:val="24"/>
          <w:szCs w:val="24"/>
          <w:lang w:eastAsia="zh-CN"/>
        </w:rPr>
        <w:t>&lt;2 g/d(</w:t>
      </w:r>
      <w:r>
        <w:rPr>
          <w:rFonts w:hint="eastAsia" w:ascii="宋体" w:hAnsi="宋体" w:eastAsia="宋体" w:cs="宋体"/>
          <w:snapToGrid/>
          <w:kern w:val="2"/>
          <w:sz w:val="24"/>
          <w:szCs w:val="24"/>
          <w:lang w:eastAsia="zh-CN"/>
        </w:rPr>
        <w:t>氯化钠</w:t>
      </w:r>
      <w:r>
        <w:rPr>
          <w:rFonts w:ascii="宋体" w:hAnsi="宋体" w:eastAsia="宋体" w:cs="宋体"/>
          <w:snapToGrid/>
          <w:kern w:val="2"/>
          <w:sz w:val="24"/>
          <w:szCs w:val="24"/>
          <w:lang w:eastAsia="zh-CN"/>
        </w:rPr>
        <w:t>5g/d)</w:t>
      </w:r>
      <w:r>
        <w:rPr>
          <w:rFonts w:hint="eastAsia" w:ascii="宋体" w:hAnsi="宋体" w:eastAsia="宋体" w:cs="宋体"/>
          <w:snapToGrid/>
          <w:kern w:val="2"/>
          <w:sz w:val="24"/>
          <w:szCs w:val="24"/>
          <w:lang w:eastAsia="zh-CN"/>
        </w:rPr>
        <w:t>，肾功能良好者推荐选择低钠富钾替代盐，应减少摄入盐和饱和脂肪</w:t>
      </w:r>
      <w:r>
        <w:rPr>
          <w:rFonts w:ascii="宋体" w:hAnsi="宋体" w:eastAsia="宋体" w:cs="宋体"/>
          <w:snapToGrid/>
          <w:kern w:val="2"/>
          <w:sz w:val="24"/>
          <w:szCs w:val="24"/>
          <w:lang w:eastAsia="zh-CN"/>
        </w:rPr>
        <w:t>,</w:t>
      </w:r>
      <w:r>
        <w:rPr>
          <w:rFonts w:hint="eastAsia" w:ascii="宋体" w:hAnsi="宋体" w:eastAsia="宋体" w:cs="宋体"/>
          <w:snapToGrid/>
          <w:kern w:val="2"/>
          <w:sz w:val="24"/>
          <w:szCs w:val="24"/>
          <w:lang w:eastAsia="zh-CN"/>
        </w:rPr>
        <w:t>增加摄入蛋白质、优质碳水化合物、钾及膳食纤维</w:t>
      </w:r>
      <w:r>
        <w:rPr>
          <w:rFonts w:hint="eastAsia" w:ascii="宋体" w:hAnsi="宋体" w:eastAsia="宋体" w:cs="宋体"/>
          <w:snapToGrid/>
          <w:kern w:val="2"/>
          <w:sz w:val="24"/>
          <w:szCs w:val="24"/>
          <w:vertAlign w:val="superscript"/>
          <w:lang w:eastAsia="zh-CN"/>
        </w:rPr>
        <w:t>[1]</w:t>
      </w:r>
      <w:r>
        <w:rPr>
          <w:rFonts w:hint="eastAsia" w:ascii="宋体" w:hAnsi="宋体" w:eastAsia="宋体" w:cs="宋体"/>
          <w:snapToGrid/>
          <w:kern w:val="2"/>
          <w:sz w:val="24"/>
          <w:szCs w:val="24"/>
          <w:lang w:eastAsia="zh-CN"/>
        </w:rPr>
        <w:t>。</w:t>
      </w:r>
    </w:p>
    <w:p w14:paraId="632387F2">
      <w:pPr>
        <w:widowControl w:val="0"/>
        <w:kinsoku/>
        <w:autoSpaceDE/>
        <w:autoSpaceDN/>
        <w:adjustRightInd/>
        <w:snapToGrid/>
        <w:spacing w:line="360" w:lineRule="auto"/>
        <w:ind w:firstLine="480" w:firstLineChars="200"/>
        <w:jc w:val="both"/>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对于超重或肥胖的患者，建议通过综合生活方式干预控制体重，建议戒烟，以减少隐蔽性高血压，降低心血管疾病和全因死亡风险。限制长期饮酒，保持健康睡眠，改善睡眠障碍，可以通过认知行为治疗、正念和冥想、瑜伽、深呼吸练习等多种方法来减轻精神压力。对于血压控制良好的患者，推荐以有氧运动为主、抗阻运动为辅的混合训练，同时结合呼吸训练与柔韧性和拉伸训练</w:t>
      </w:r>
      <w:bookmarkStart w:id="26" w:name="OLE_LINK7"/>
      <w:r>
        <w:rPr>
          <w:rFonts w:hint="eastAsia" w:ascii="宋体" w:hAnsi="宋体" w:eastAsia="宋体" w:cs="宋体"/>
          <w:snapToGrid/>
          <w:kern w:val="2"/>
          <w:sz w:val="24"/>
          <w:szCs w:val="24"/>
          <w:vertAlign w:val="superscript"/>
          <w:lang w:eastAsia="zh-CN"/>
        </w:rPr>
        <w:t>[1]</w:t>
      </w:r>
      <w:bookmarkEnd w:id="26"/>
      <w:r>
        <w:rPr>
          <w:rFonts w:hint="eastAsia" w:ascii="宋体" w:hAnsi="宋体" w:eastAsia="宋体" w:cs="宋体"/>
          <w:snapToGrid/>
          <w:kern w:val="2"/>
          <w:sz w:val="24"/>
          <w:szCs w:val="24"/>
          <w:lang w:eastAsia="zh-CN"/>
        </w:rPr>
        <w:t>。</w:t>
      </w:r>
    </w:p>
    <w:p w14:paraId="652344D9">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bookmarkStart w:id="27" w:name="OLE_LINK4"/>
      <w:r>
        <w:rPr>
          <w:rFonts w:hint="eastAsia" w:ascii="宋体" w:hAnsi="宋体" w:eastAsia="宋体" w:cs="宋体"/>
          <w:snapToGrid/>
          <w:kern w:val="2"/>
          <w:sz w:val="24"/>
          <w:szCs w:val="24"/>
          <w:lang w:eastAsia="zh-CN"/>
        </w:rPr>
        <w:t>中医养生调摄是通过饮食调养、情志护理、体质调护、中医健康综合管理等改善患者生活方式，从而达到控制血压的目的</w:t>
      </w:r>
      <w:r>
        <w:rPr>
          <w:rFonts w:hint="eastAsia" w:ascii="宋体" w:hAnsi="宋体" w:eastAsia="宋体" w:cs="宋体"/>
          <w:bCs/>
          <w:kern w:val="2"/>
          <w:sz w:val="24"/>
          <w:szCs w:val="24"/>
          <w:vertAlign w:val="superscript"/>
          <w:lang w:eastAsia="zh-CN"/>
        </w:rPr>
        <w:t>[8</w:t>
      </w:r>
      <w:r>
        <w:rPr>
          <w:rFonts w:ascii="宋体" w:hAnsi="宋体" w:eastAsia="宋体" w:cs="宋体"/>
          <w:bCs/>
          <w:kern w:val="2"/>
          <w:sz w:val="24"/>
          <w:szCs w:val="24"/>
          <w:vertAlign w:val="superscript"/>
          <w:lang w:eastAsia="zh-CN"/>
        </w:rPr>
        <w:t>-11]</w:t>
      </w:r>
      <w:r>
        <w:rPr>
          <w:rFonts w:hint="eastAsia" w:ascii="宋体" w:hAnsi="宋体" w:eastAsia="宋体" w:cs="宋体"/>
          <w:b/>
          <w:bCs/>
          <w:snapToGrid/>
          <w:kern w:val="2"/>
          <w:sz w:val="24"/>
          <w:szCs w:val="24"/>
          <w:lang w:eastAsia="zh-CN"/>
        </w:rPr>
        <w:t>（证据级别：D级；推荐强度：强推荐）</w:t>
      </w:r>
      <w:r>
        <w:rPr>
          <w:rFonts w:hint="eastAsia" w:ascii="宋体" w:hAnsi="宋体" w:eastAsia="宋体" w:cs="宋体"/>
          <w:snapToGrid/>
          <w:kern w:val="2"/>
          <w:sz w:val="24"/>
          <w:szCs w:val="24"/>
          <w:lang w:eastAsia="zh-CN"/>
        </w:rPr>
        <w:t>，具体内容包括：</w:t>
      </w:r>
    </w:p>
    <w:p w14:paraId="1515354A">
      <w:pPr>
        <w:widowControl w:val="0"/>
        <w:numPr>
          <w:ilvl w:val="0"/>
          <w:numId w:val="2"/>
        </w:numPr>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合理膳食：患者在遵循药物治疗方案的同时，遵循“五谷为养，五果为助，五畜为益，五菜为充”的原则，避免高盐食物、肥甘厚味与烟酒等辛辣刺激性食物，有助于更好地控制血压，提高生活质量。</w:t>
      </w:r>
    </w:p>
    <w:p w14:paraId="69AA2668">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b)情志调摄：中医认为难治性高血压与情志失调密切相关，情志失调可使肝气郁结，气滞则血瘀，脉络不通，影响气血的正常运行，进而导致血压升高。而长期的情志不舒易化火伤阴，使肝肾阴虚，肝阳上亢，加重高血压的病情，增加治疗的难度，形成难治性高血压。在常规治疗的基础上强化心理疏导，可以达到降压的目的。</w:t>
      </w:r>
    </w:p>
    <w:p w14:paraId="3F904B68">
      <w:pPr>
        <w:widowControl w:val="0"/>
        <w:numPr>
          <w:ilvl w:val="255"/>
          <w:numId w:val="0"/>
        </w:numPr>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c)体质调护：中医体质调护在难治性高血压的防治中具有重要作用，通过辨别患者的体质类型，并采取相应的调护措施，可以改善患者的体质状态，辅助降低血压，提高生活质量。</w:t>
      </w:r>
    </w:p>
    <w:p w14:paraId="1DA9B6A4">
      <w:pPr>
        <w:pStyle w:val="18"/>
        <w:numPr>
          <w:ilvl w:val="1"/>
          <w:numId w:val="0"/>
        </w:numPr>
        <w:spacing w:before="156" w:after="156"/>
        <w:ind w:left="426"/>
        <w:rPr>
          <w:rFonts w:hAnsi="黑体" w:cs="黑体"/>
          <w:sz w:val="24"/>
          <w:szCs w:val="24"/>
        </w:rPr>
      </w:pPr>
      <w:r>
        <w:rPr>
          <w:rFonts w:hint="eastAsia" w:hAnsi="黑体" w:cs="黑体"/>
          <w:sz w:val="24"/>
          <w:szCs w:val="24"/>
        </w:rPr>
        <w:t>8.3西医治疗</w:t>
      </w:r>
    </w:p>
    <w:p w14:paraId="12D06D99">
      <w:pPr>
        <w:widowControl w:val="0"/>
        <w:numPr>
          <w:ilvl w:val="255"/>
          <w:numId w:val="0"/>
        </w:numPr>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常用药物包括长效</w:t>
      </w:r>
      <w:r>
        <w:rPr>
          <w:rFonts w:ascii="宋体" w:hAnsi="宋体" w:eastAsia="宋体" w:cs="宋体"/>
          <w:snapToGrid/>
          <w:kern w:val="2"/>
          <w:sz w:val="24"/>
          <w:szCs w:val="24"/>
          <w:lang w:eastAsia="zh-CN"/>
        </w:rPr>
        <w:t>CCB</w:t>
      </w:r>
      <w:r>
        <w:rPr>
          <w:rFonts w:hint="eastAsia" w:ascii="宋体" w:hAnsi="宋体" w:eastAsia="宋体" w:cs="宋体"/>
          <w:snapToGrid/>
          <w:kern w:val="2"/>
          <w:sz w:val="24"/>
          <w:szCs w:val="24"/>
          <w:lang w:eastAsia="zh-CN"/>
        </w:rPr>
        <w:t>、</w:t>
      </w:r>
      <w:r>
        <w:rPr>
          <w:rFonts w:ascii="宋体" w:hAnsi="宋体" w:eastAsia="宋体" w:cs="宋体"/>
          <w:snapToGrid/>
          <w:kern w:val="2"/>
          <w:sz w:val="24"/>
          <w:szCs w:val="24"/>
          <w:lang w:eastAsia="zh-CN"/>
        </w:rPr>
        <w:t>ACEI</w:t>
      </w:r>
      <w:r>
        <w:rPr>
          <w:rFonts w:hint="eastAsia" w:ascii="宋体" w:hAnsi="宋体" w:eastAsia="宋体" w:cs="宋体"/>
          <w:snapToGrid/>
          <w:kern w:val="2"/>
          <w:sz w:val="24"/>
          <w:szCs w:val="24"/>
          <w:lang w:eastAsia="zh-CN"/>
        </w:rPr>
        <w:t>、</w:t>
      </w:r>
      <w:r>
        <w:rPr>
          <w:rFonts w:ascii="宋体" w:hAnsi="宋体" w:eastAsia="宋体" w:cs="宋体"/>
          <w:snapToGrid/>
          <w:kern w:val="2"/>
          <w:sz w:val="24"/>
          <w:szCs w:val="24"/>
          <w:lang w:eastAsia="zh-CN"/>
        </w:rPr>
        <w:t>ARB</w:t>
      </w:r>
      <w:r>
        <w:rPr>
          <w:rFonts w:hint="eastAsia" w:ascii="宋体" w:hAnsi="宋体" w:eastAsia="宋体" w:cs="宋体"/>
          <w:snapToGrid/>
          <w:kern w:val="2"/>
          <w:sz w:val="24"/>
          <w:szCs w:val="24"/>
          <w:lang w:eastAsia="zh-CN"/>
        </w:rPr>
        <w:t>、</w:t>
      </w:r>
      <w:r>
        <w:rPr>
          <w:rFonts w:ascii="宋体" w:hAnsi="宋体" w:eastAsia="宋体" w:cs="宋体"/>
          <w:snapToGrid/>
          <w:kern w:val="2"/>
          <w:sz w:val="24"/>
          <w:szCs w:val="24"/>
          <w:lang w:eastAsia="zh-CN"/>
        </w:rPr>
        <w:t>ARNI</w:t>
      </w:r>
      <w:r>
        <w:rPr>
          <w:rFonts w:hint="eastAsia" w:ascii="宋体" w:hAnsi="宋体" w:eastAsia="宋体" w:cs="宋体"/>
          <w:snapToGrid/>
          <w:kern w:val="2"/>
          <w:sz w:val="24"/>
          <w:szCs w:val="24"/>
          <w:lang w:eastAsia="zh-CN"/>
        </w:rPr>
        <w:t>、噻嗪类利尿剂。如血压仍未控制，可考虑加用第</w:t>
      </w:r>
      <w:r>
        <w:rPr>
          <w:rFonts w:ascii="宋体" w:hAnsi="宋体" w:eastAsia="宋体" w:cs="宋体"/>
          <w:snapToGrid/>
          <w:kern w:val="2"/>
          <w:sz w:val="24"/>
          <w:szCs w:val="24"/>
          <w:lang w:eastAsia="zh-CN"/>
        </w:rPr>
        <w:t>4</w:t>
      </w:r>
      <w:r>
        <w:rPr>
          <w:rFonts w:hint="eastAsia" w:ascii="宋体" w:hAnsi="宋体" w:eastAsia="宋体" w:cs="宋体"/>
          <w:snapToGrid/>
          <w:kern w:val="2"/>
          <w:sz w:val="24"/>
          <w:szCs w:val="24"/>
          <w:lang w:eastAsia="zh-CN"/>
        </w:rPr>
        <w:t>种降压药，首选醛固酮受体拮抗剂</w:t>
      </w:r>
      <w:r>
        <w:rPr>
          <w:rFonts w:ascii="宋体" w:hAnsi="宋体" w:eastAsia="宋体" w:cs="宋体"/>
          <w:snapToGrid/>
          <w:kern w:val="2"/>
          <w:sz w:val="24"/>
          <w:szCs w:val="24"/>
          <w:lang w:eastAsia="zh-CN"/>
        </w:rPr>
        <w:t>,</w:t>
      </w:r>
      <w:r>
        <w:rPr>
          <w:rFonts w:hint="eastAsia" w:ascii="宋体" w:hAnsi="宋体" w:eastAsia="宋体" w:cs="宋体"/>
          <w:snapToGrid/>
          <w:kern w:val="2"/>
          <w:sz w:val="24"/>
          <w:szCs w:val="24"/>
          <w:lang w:eastAsia="zh-CN"/>
        </w:rPr>
        <w:t>如螺内酯、依普利酮</w:t>
      </w:r>
      <w:r>
        <w:rPr>
          <w:rFonts w:ascii="宋体" w:hAnsi="宋体" w:eastAsia="宋体" w:cs="宋体"/>
          <w:snapToGrid/>
          <w:kern w:val="2"/>
          <w:sz w:val="24"/>
          <w:szCs w:val="24"/>
          <w:lang w:eastAsia="zh-CN"/>
        </w:rPr>
        <w:t>,</w:t>
      </w:r>
      <w:r>
        <w:rPr>
          <w:rFonts w:hint="eastAsia" w:ascii="宋体" w:hAnsi="宋体" w:eastAsia="宋体" w:cs="宋体"/>
          <w:snapToGrid/>
          <w:kern w:val="2"/>
          <w:sz w:val="24"/>
          <w:szCs w:val="24"/>
          <w:lang w:eastAsia="zh-CN"/>
        </w:rPr>
        <w:t>其他药物如β受体阻滞剂、α受体阻滞剂、复方保钾利尿剂及新型降压药</w:t>
      </w:r>
      <w:r>
        <w:rPr>
          <w:rFonts w:ascii="宋体" w:hAnsi="宋体" w:eastAsia="宋体" w:cs="宋体"/>
          <w:snapToGrid/>
          <w:kern w:val="2"/>
          <w:sz w:val="24"/>
          <w:szCs w:val="24"/>
          <w:lang w:eastAsia="zh-CN"/>
        </w:rPr>
        <w:t>(</w:t>
      </w:r>
      <w:r>
        <w:rPr>
          <w:rFonts w:hint="eastAsia" w:ascii="宋体" w:hAnsi="宋体" w:eastAsia="宋体" w:cs="宋体"/>
          <w:snapToGrid/>
          <w:kern w:val="2"/>
          <w:sz w:val="24"/>
          <w:szCs w:val="24"/>
          <w:lang w:eastAsia="zh-CN"/>
        </w:rPr>
        <w:t>内皮素双受体拮抗剂等</w:t>
      </w:r>
      <w:r>
        <w:rPr>
          <w:rFonts w:ascii="宋体" w:hAnsi="宋体" w:eastAsia="宋体" w:cs="宋体"/>
          <w:snapToGrid/>
          <w:kern w:val="2"/>
          <w:sz w:val="24"/>
          <w:szCs w:val="24"/>
          <w:lang w:eastAsia="zh-CN"/>
        </w:rPr>
        <w:t>)</w:t>
      </w:r>
      <w:r>
        <w:rPr>
          <w:rFonts w:hint="eastAsia" w:ascii="宋体" w:hAnsi="宋体" w:eastAsia="宋体" w:cs="宋体"/>
          <w:snapToGrid/>
          <w:kern w:val="2"/>
          <w:sz w:val="24"/>
          <w:szCs w:val="24"/>
          <w:lang w:eastAsia="zh-CN"/>
        </w:rPr>
        <w:t>，同时也需积极寻找其他导致血压升高的继发性因素。对于</w:t>
      </w:r>
      <w:r>
        <w:rPr>
          <w:rFonts w:ascii="宋体" w:hAnsi="宋体" w:eastAsia="宋体" w:cs="宋体"/>
          <w:snapToGrid/>
          <w:kern w:val="2"/>
          <w:sz w:val="24"/>
          <w:szCs w:val="24"/>
          <w:lang w:eastAsia="zh-CN"/>
        </w:rPr>
        <w:t>CKD</w:t>
      </w:r>
      <w:r>
        <w:rPr>
          <w:rFonts w:hint="eastAsia" w:ascii="宋体" w:hAnsi="宋体" w:eastAsia="宋体" w:cs="宋体"/>
          <w:snapToGrid/>
          <w:kern w:val="2"/>
          <w:sz w:val="24"/>
          <w:szCs w:val="24"/>
          <w:lang w:eastAsia="zh-CN"/>
        </w:rPr>
        <w:t>分期</w:t>
      </w:r>
      <w:r>
        <w:rPr>
          <w:rFonts w:ascii="宋体" w:hAnsi="宋体" w:eastAsia="宋体" w:cs="宋体"/>
          <w:snapToGrid/>
          <w:kern w:val="2"/>
          <w:sz w:val="24"/>
          <w:szCs w:val="24"/>
          <w:lang w:eastAsia="zh-CN"/>
        </w:rPr>
        <w:t>4</w:t>
      </w:r>
      <w:r>
        <w:rPr>
          <w:rFonts w:hint="eastAsia" w:ascii="宋体" w:hAnsi="宋体" w:eastAsia="宋体" w:cs="宋体"/>
          <w:snapToGrid/>
          <w:kern w:val="2"/>
          <w:sz w:val="24"/>
          <w:szCs w:val="24"/>
          <w:lang w:eastAsia="zh-CN"/>
        </w:rPr>
        <w:t>期以上患者，可使用袢利尿剂如呋塞米</w:t>
      </w:r>
      <w:r>
        <w:rPr>
          <w:rFonts w:hint="eastAsia" w:ascii="宋体" w:hAnsi="宋体" w:eastAsia="宋体" w:cs="宋体"/>
          <w:bCs/>
          <w:kern w:val="2"/>
          <w:sz w:val="24"/>
          <w:szCs w:val="24"/>
          <w:vertAlign w:val="superscript"/>
          <w:lang w:eastAsia="zh-CN"/>
        </w:rPr>
        <w:t>[1]</w:t>
      </w:r>
      <w:r>
        <w:rPr>
          <w:rFonts w:hint="eastAsia" w:ascii="宋体" w:hAnsi="宋体" w:eastAsia="宋体" w:cs="宋体"/>
          <w:snapToGrid/>
          <w:kern w:val="2"/>
          <w:sz w:val="24"/>
          <w:szCs w:val="24"/>
          <w:lang w:eastAsia="zh-CN"/>
        </w:rPr>
        <w:t>。</w:t>
      </w:r>
    </w:p>
    <w:p w14:paraId="61094D03">
      <w:pPr>
        <w:widowControl w:val="0"/>
        <w:numPr>
          <w:ilvl w:val="255"/>
          <w:numId w:val="0"/>
        </w:numPr>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对于难治性高血压患者应采用家庭血压或动态血压评估诊室外血压，评估服药依从性，同时评估服药过程中有无药物相关不良反应并做出及时的调整。如存在漏服和停药等情况，需耐心询问原因并鼓励患者坚持服药。对于特殊人群，如难治性高血压合并睡眠呼吸暂停综合征，可通过使用持续气道正压通气（</w:t>
      </w:r>
      <w:r>
        <w:rPr>
          <w:rFonts w:ascii="宋体" w:hAnsi="宋体" w:eastAsia="宋体" w:cs="宋体"/>
          <w:snapToGrid/>
          <w:kern w:val="2"/>
          <w:sz w:val="24"/>
          <w:szCs w:val="24"/>
          <w:lang w:eastAsia="zh-CN"/>
        </w:rPr>
        <w:t>CPAP</w:t>
      </w:r>
      <w:r>
        <w:rPr>
          <w:rFonts w:hint="eastAsia" w:ascii="宋体" w:hAnsi="宋体" w:eastAsia="宋体" w:cs="宋体"/>
          <w:snapToGrid/>
          <w:kern w:val="2"/>
          <w:sz w:val="24"/>
          <w:szCs w:val="24"/>
          <w:lang w:eastAsia="zh-CN"/>
        </w:rPr>
        <w:t>）改善血压控制。对于存在睡眠障碍以及精神压力过大等情况，推荐至相应专科进行诊治</w:t>
      </w:r>
      <w:r>
        <w:rPr>
          <w:rFonts w:hint="eastAsia" w:ascii="宋体" w:hAnsi="宋体" w:eastAsia="宋体" w:cs="宋体"/>
          <w:bCs/>
          <w:kern w:val="2"/>
          <w:sz w:val="24"/>
          <w:szCs w:val="24"/>
          <w:vertAlign w:val="superscript"/>
          <w:lang w:eastAsia="zh-CN"/>
        </w:rPr>
        <w:t>[1]</w:t>
      </w:r>
      <w:r>
        <w:rPr>
          <w:rFonts w:hint="eastAsia" w:ascii="宋体" w:hAnsi="宋体" w:eastAsia="宋体" w:cs="宋体"/>
          <w:snapToGrid/>
          <w:kern w:val="2"/>
          <w:sz w:val="24"/>
          <w:szCs w:val="24"/>
          <w:lang w:eastAsia="zh-CN"/>
        </w:rPr>
        <w:t>。</w:t>
      </w:r>
    </w:p>
    <w:p w14:paraId="3CDC6267">
      <w:pPr>
        <w:widowControl w:val="0"/>
        <w:numPr>
          <w:ilvl w:val="255"/>
          <w:numId w:val="0"/>
        </w:numPr>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部分难治性高血压患者经高血压专科医生等综合评估后，可考虑尝试</w:t>
      </w:r>
      <w:r>
        <w:rPr>
          <w:rFonts w:ascii="宋体" w:hAnsi="宋体" w:eastAsia="宋体" w:cs="宋体"/>
          <w:snapToGrid/>
          <w:kern w:val="2"/>
          <w:sz w:val="24"/>
          <w:szCs w:val="24"/>
          <w:lang w:eastAsia="zh-CN"/>
        </w:rPr>
        <w:t>RDN</w:t>
      </w:r>
      <w:r>
        <w:rPr>
          <w:rFonts w:hint="eastAsia" w:ascii="宋体" w:hAnsi="宋体" w:eastAsia="宋体" w:cs="宋体"/>
          <w:snapToGrid/>
          <w:kern w:val="2"/>
          <w:sz w:val="24"/>
          <w:szCs w:val="24"/>
          <w:lang w:eastAsia="zh-CN"/>
        </w:rPr>
        <w:t>等器械治疗。无高血压专科医生或难治性高血压诊治经验不足的医院，可推荐患者转诊至有高血压专科医生且具备难治性高血压诊治经验的医院就诊</w:t>
      </w:r>
      <w:r>
        <w:rPr>
          <w:rFonts w:hint="eastAsia" w:ascii="宋体" w:hAnsi="宋体" w:eastAsia="宋体" w:cs="宋体"/>
          <w:bCs/>
          <w:kern w:val="2"/>
          <w:sz w:val="24"/>
          <w:szCs w:val="24"/>
          <w:vertAlign w:val="superscript"/>
          <w:lang w:eastAsia="zh-CN"/>
        </w:rPr>
        <w:t>[1]</w:t>
      </w:r>
      <w:r>
        <w:rPr>
          <w:rFonts w:hint="eastAsia" w:ascii="宋体" w:hAnsi="宋体" w:eastAsia="宋体" w:cs="宋体"/>
          <w:snapToGrid/>
          <w:kern w:val="2"/>
          <w:sz w:val="24"/>
          <w:szCs w:val="24"/>
          <w:lang w:eastAsia="zh-CN"/>
        </w:rPr>
        <w:t>。</w:t>
      </w:r>
    </w:p>
    <w:bookmarkEnd w:id="27"/>
    <w:p w14:paraId="6DB7DBFD">
      <w:pPr>
        <w:pStyle w:val="18"/>
        <w:numPr>
          <w:ilvl w:val="1"/>
          <w:numId w:val="0"/>
        </w:numPr>
        <w:spacing w:before="156" w:after="156"/>
        <w:ind w:left="426"/>
        <w:rPr>
          <w:rFonts w:hAnsi="黑体" w:cs="黑体"/>
          <w:sz w:val="24"/>
          <w:szCs w:val="24"/>
        </w:rPr>
      </w:pPr>
      <w:bookmarkStart w:id="28" w:name="_Toc76212799"/>
      <w:r>
        <w:rPr>
          <w:rFonts w:hint="eastAsia" w:hAnsi="黑体" w:cs="黑体"/>
          <w:sz w:val="24"/>
          <w:szCs w:val="24"/>
        </w:rPr>
        <w:t>8.4 辨证论治</w:t>
      </w:r>
      <w:bookmarkEnd w:id="28"/>
    </w:p>
    <w:p w14:paraId="417F5931">
      <w:pPr>
        <w:pStyle w:val="18"/>
        <w:numPr>
          <w:ilvl w:val="1"/>
          <w:numId w:val="0"/>
        </w:numPr>
        <w:spacing w:before="156" w:after="156"/>
        <w:ind w:left="426"/>
        <w:rPr>
          <w:rFonts w:hAnsi="黑体" w:cs="黑体"/>
          <w:sz w:val="24"/>
          <w:szCs w:val="24"/>
        </w:rPr>
      </w:pPr>
      <w:r>
        <w:rPr>
          <w:rFonts w:hint="eastAsia" w:hAnsi="黑体" w:cs="黑体"/>
          <w:sz w:val="24"/>
          <w:szCs w:val="24"/>
        </w:rPr>
        <w:t>8.4.1  痰湿壅盛证</w:t>
      </w:r>
    </w:p>
    <w:p w14:paraId="4D8D9660">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治法：化痰祛湿。</w:t>
      </w:r>
    </w:p>
    <w:p w14:paraId="4BCEB817">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推荐方：</w:t>
      </w:r>
      <w:bookmarkStart w:id="29" w:name="OLE_LINK5"/>
      <w:r>
        <w:rPr>
          <w:rFonts w:hint="eastAsia" w:ascii="宋体" w:hAnsi="宋体" w:eastAsia="宋体" w:cs="宋体"/>
          <w:snapToGrid/>
          <w:kern w:val="2"/>
          <w:sz w:val="24"/>
          <w:szCs w:val="24"/>
          <w:lang w:eastAsia="zh-CN"/>
        </w:rPr>
        <w:t>半夏白术天麻汤加减</w:t>
      </w:r>
      <w:bookmarkEnd w:id="29"/>
      <w:r>
        <w:rPr>
          <w:rFonts w:hint="eastAsia" w:ascii="宋体" w:hAnsi="宋体" w:eastAsia="宋体" w:cs="宋体"/>
          <w:snapToGrid/>
          <w:kern w:val="2"/>
          <w:sz w:val="24"/>
          <w:szCs w:val="24"/>
          <w:vertAlign w:val="superscript"/>
          <w:lang w:eastAsia="zh-CN"/>
        </w:rPr>
        <w:t>[12-17]</w:t>
      </w:r>
      <w:r>
        <w:rPr>
          <w:rFonts w:hint="eastAsia" w:ascii="宋体" w:hAnsi="宋体" w:eastAsia="宋体" w:cs="宋体"/>
          <w:snapToGrid/>
          <w:kern w:val="2"/>
          <w:sz w:val="24"/>
          <w:szCs w:val="24"/>
          <w:lang w:eastAsia="zh-CN"/>
        </w:rPr>
        <w:t>。</w:t>
      </w:r>
      <w:r>
        <w:rPr>
          <w:rFonts w:hint="eastAsia" w:ascii="宋体" w:hAnsi="宋体" w:eastAsia="宋体" w:cs="宋体"/>
          <w:b/>
          <w:bCs/>
          <w:snapToGrid/>
          <w:kern w:val="2"/>
          <w:sz w:val="24"/>
          <w:szCs w:val="24"/>
          <w:lang w:eastAsia="zh-CN"/>
        </w:rPr>
        <w:t>（证据级别：C级；推荐强度：强推荐）</w:t>
      </w:r>
    </w:p>
    <w:p w14:paraId="547934AE">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组成：半夏、白术、天麻、茯苓、橘红等。</w:t>
      </w:r>
    </w:p>
    <w:p w14:paraId="48E6C762">
      <w:pPr>
        <w:pStyle w:val="18"/>
        <w:numPr>
          <w:ilvl w:val="1"/>
          <w:numId w:val="0"/>
        </w:numPr>
        <w:spacing w:before="156" w:after="156"/>
        <w:ind w:left="426"/>
        <w:rPr>
          <w:rFonts w:hAnsi="黑体" w:cs="黑体"/>
          <w:sz w:val="24"/>
          <w:szCs w:val="24"/>
        </w:rPr>
      </w:pPr>
      <w:r>
        <w:rPr>
          <w:rFonts w:hint="eastAsia" w:hAnsi="黑体" w:cs="黑体"/>
          <w:sz w:val="24"/>
          <w:szCs w:val="24"/>
        </w:rPr>
        <w:t>8.4.2  肝火亢盛证</w:t>
      </w:r>
    </w:p>
    <w:p w14:paraId="587BE214">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治法：清肝泻火。</w:t>
      </w:r>
    </w:p>
    <w:p w14:paraId="239CED30">
      <w:pPr>
        <w:widowControl w:val="0"/>
        <w:kinsoku/>
        <w:autoSpaceDE/>
        <w:autoSpaceDN/>
        <w:adjustRightInd/>
        <w:snapToGrid/>
        <w:spacing w:line="360" w:lineRule="auto"/>
        <w:ind w:firstLine="480" w:firstLineChars="200"/>
        <w:textAlignment w:val="auto"/>
        <w:rPr>
          <w:rFonts w:ascii="宋体" w:hAnsi="宋体" w:eastAsia="宋体" w:cs="宋体"/>
          <w:b/>
          <w:bCs/>
          <w:snapToGrid/>
          <w:kern w:val="2"/>
          <w:sz w:val="24"/>
          <w:szCs w:val="24"/>
          <w:lang w:eastAsia="zh-CN"/>
        </w:rPr>
      </w:pPr>
      <w:r>
        <w:rPr>
          <w:rFonts w:hint="eastAsia" w:ascii="宋体" w:hAnsi="宋体" w:eastAsia="宋体" w:cs="宋体"/>
          <w:snapToGrid/>
          <w:kern w:val="2"/>
          <w:sz w:val="24"/>
          <w:szCs w:val="24"/>
          <w:lang w:eastAsia="zh-CN"/>
        </w:rPr>
        <w:t>推荐方：黄连解毒汤加减</w:t>
      </w:r>
      <w:r>
        <w:rPr>
          <w:rFonts w:hint="eastAsia" w:ascii="宋体" w:hAnsi="宋体" w:eastAsia="宋体" w:cs="宋体"/>
          <w:snapToGrid/>
          <w:kern w:val="2"/>
          <w:sz w:val="24"/>
          <w:szCs w:val="24"/>
          <w:vertAlign w:val="superscript"/>
          <w:lang w:eastAsia="zh-CN"/>
        </w:rPr>
        <w:t>[18,19]</w:t>
      </w:r>
      <w:r>
        <w:rPr>
          <w:rFonts w:hint="eastAsia" w:ascii="宋体" w:hAnsi="宋体" w:eastAsia="宋体" w:cs="宋体"/>
          <w:snapToGrid/>
          <w:kern w:val="2"/>
          <w:sz w:val="24"/>
          <w:szCs w:val="24"/>
          <w:lang w:eastAsia="zh-CN"/>
        </w:rPr>
        <w:t>。</w:t>
      </w:r>
      <w:r>
        <w:rPr>
          <w:rFonts w:hint="eastAsia" w:ascii="宋体" w:hAnsi="宋体" w:eastAsia="宋体" w:cs="宋体"/>
          <w:b/>
          <w:bCs/>
          <w:snapToGrid/>
          <w:kern w:val="2"/>
          <w:sz w:val="24"/>
          <w:szCs w:val="24"/>
          <w:lang w:eastAsia="zh-CN"/>
        </w:rPr>
        <w:t>（证据级别：C级；推荐强度：强推荐）</w:t>
      </w:r>
    </w:p>
    <w:p w14:paraId="56440EB2">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组成：黄连、黄芩、黄柏、栀子等。</w:t>
      </w:r>
    </w:p>
    <w:p w14:paraId="0BF4AEB7">
      <w:pPr>
        <w:pStyle w:val="18"/>
        <w:numPr>
          <w:ilvl w:val="1"/>
          <w:numId w:val="0"/>
        </w:numPr>
        <w:spacing w:before="156" w:after="156"/>
        <w:ind w:left="426"/>
        <w:rPr>
          <w:rFonts w:hAnsi="黑体" w:cs="黑体"/>
          <w:sz w:val="24"/>
          <w:szCs w:val="24"/>
        </w:rPr>
      </w:pPr>
      <w:r>
        <w:rPr>
          <w:rFonts w:hint="eastAsia" w:hAnsi="黑体" w:cs="黑体"/>
          <w:sz w:val="24"/>
          <w:szCs w:val="24"/>
        </w:rPr>
        <w:t>8.4.3  瘀血阻络证</w:t>
      </w:r>
    </w:p>
    <w:p w14:paraId="44DF531C">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治法：化瘀通络。</w:t>
      </w:r>
    </w:p>
    <w:p w14:paraId="46842E97">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推荐方：血府逐瘀汤加减</w:t>
      </w:r>
      <w:r>
        <w:rPr>
          <w:rFonts w:hint="eastAsia" w:ascii="宋体" w:hAnsi="宋体" w:eastAsia="宋体" w:cs="宋体"/>
          <w:snapToGrid/>
          <w:kern w:val="2"/>
          <w:sz w:val="24"/>
          <w:szCs w:val="24"/>
          <w:vertAlign w:val="superscript"/>
          <w:lang w:eastAsia="zh-CN"/>
        </w:rPr>
        <w:t>[20-23]</w:t>
      </w:r>
      <w:r>
        <w:rPr>
          <w:rFonts w:hint="eastAsia" w:ascii="宋体" w:hAnsi="宋体" w:eastAsia="宋体" w:cs="宋体"/>
          <w:snapToGrid/>
          <w:kern w:val="2"/>
          <w:sz w:val="24"/>
          <w:szCs w:val="24"/>
          <w:lang w:eastAsia="zh-CN"/>
        </w:rPr>
        <w:t>。</w:t>
      </w:r>
      <w:r>
        <w:rPr>
          <w:rFonts w:hint="eastAsia" w:ascii="宋体" w:hAnsi="宋体" w:eastAsia="宋体" w:cs="宋体"/>
          <w:b/>
          <w:bCs/>
          <w:snapToGrid/>
          <w:kern w:val="2"/>
          <w:sz w:val="24"/>
          <w:szCs w:val="24"/>
          <w:lang w:eastAsia="zh-CN"/>
        </w:rPr>
        <w:t>（证据级别：C级；推荐强度：强推荐）</w:t>
      </w:r>
    </w:p>
    <w:p w14:paraId="57FC3364">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组成：桃仁、红花、当归、生地黄、牛膝、川芎、桔梗、赤芍、枳壳等。</w:t>
      </w:r>
    </w:p>
    <w:p w14:paraId="014C69AF">
      <w:pPr>
        <w:pStyle w:val="18"/>
        <w:numPr>
          <w:ilvl w:val="1"/>
          <w:numId w:val="0"/>
        </w:numPr>
        <w:spacing w:before="156" w:after="156"/>
        <w:ind w:left="426"/>
        <w:rPr>
          <w:rFonts w:hAnsi="黑体" w:cs="黑体"/>
          <w:sz w:val="24"/>
          <w:szCs w:val="24"/>
        </w:rPr>
      </w:pPr>
      <w:r>
        <w:rPr>
          <w:rFonts w:hint="eastAsia" w:hAnsi="黑体" w:cs="黑体"/>
          <w:sz w:val="24"/>
          <w:szCs w:val="24"/>
        </w:rPr>
        <w:t>8.4.4 阴虚阳亢证</w:t>
      </w:r>
    </w:p>
    <w:p w14:paraId="6B7F16B1">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治法：滋阴潜阳。</w:t>
      </w:r>
    </w:p>
    <w:p w14:paraId="05968662">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推荐方：天麻钩藤饮加减</w:t>
      </w:r>
      <w:r>
        <w:rPr>
          <w:rFonts w:hint="eastAsia" w:ascii="宋体" w:hAnsi="宋体" w:eastAsia="宋体" w:cs="宋体"/>
          <w:snapToGrid/>
          <w:kern w:val="2"/>
          <w:sz w:val="24"/>
          <w:szCs w:val="24"/>
          <w:vertAlign w:val="superscript"/>
          <w:lang w:eastAsia="zh-CN"/>
        </w:rPr>
        <w:t>[24-28]</w:t>
      </w:r>
      <w:r>
        <w:rPr>
          <w:rFonts w:hint="eastAsia" w:ascii="宋体" w:hAnsi="宋体" w:eastAsia="宋体" w:cs="宋体"/>
          <w:snapToGrid/>
          <w:kern w:val="2"/>
          <w:sz w:val="24"/>
          <w:szCs w:val="24"/>
          <w:lang w:eastAsia="zh-CN"/>
        </w:rPr>
        <w:t>。</w:t>
      </w:r>
      <w:r>
        <w:rPr>
          <w:rFonts w:hint="eastAsia" w:ascii="宋体" w:hAnsi="宋体" w:eastAsia="宋体" w:cs="宋体"/>
          <w:b/>
          <w:bCs/>
          <w:snapToGrid/>
          <w:kern w:val="2"/>
          <w:sz w:val="24"/>
          <w:szCs w:val="24"/>
          <w:lang w:eastAsia="zh-CN"/>
        </w:rPr>
        <w:t>（证据级别：C级；推荐强度：强推荐）</w:t>
      </w:r>
    </w:p>
    <w:p w14:paraId="7AAE02D6">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组成：天麻、钩藤、生石决明、山栀、黄芩、川牛膝、杜仲、益母草、桑寄生、夜交藤、朱茯神等。</w:t>
      </w:r>
    </w:p>
    <w:p w14:paraId="00AFD683">
      <w:pPr>
        <w:pStyle w:val="18"/>
        <w:numPr>
          <w:ilvl w:val="1"/>
          <w:numId w:val="0"/>
        </w:numPr>
        <w:spacing w:before="156" w:after="156"/>
        <w:ind w:left="426"/>
        <w:rPr>
          <w:rFonts w:hAnsi="黑体" w:cs="黑体"/>
          <w:sz w:val="24"/>
          <w:szCs w:val="24"/>
        </w:rPr>
      </w:pPr>
      <w:r>
        <w:rPr>
          <w:rFonts w:hint="eastAsia" w:hAnsi="黑体" w:cs="黑体"/>
          <w:sz w:val="24"/>
          <w:szCs w:val="24"/>
        </w:rPr>
        <w:t>8.4.5 阴阳两虚证</w:t>
      </w:r>
    </w:p>
    <w:p w14:paraId="74C52259">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治法：平补阴阳。</w:t>
      </w:r>
    </w:p>
    <w:p w14:paraId="49C3AA77">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推荐方：地黄饮子加减</w:t>
      </w:r>
      <w:r>
        <w:rPr>
          <w:rFonts w:hint="eastAsia" w:ascii="宋体" w:hAnsi="宋体" w:eastAsia="宋体" w:cs="宋体"/>
          <w:snapToGrid/>
          <w:kern w:val="2"/>
          <w:sz w:val="24"/>
          <w:szCs w:val="24"/>
          <w:vertAlign w:val="superscript"/>
          <w:lang w:eastAsia="zh-CN"/>
        </w:rPr>
        <w:t>[29]</w:t>
      </w:r>
      <w:r>
        <w:rPr>
          <w:rFonts w:hint="eastAsia" w:ascii="宋体" w:hAnsi="宋体" w:eastAsia="宋体" w:cs="宋体"/>
          <w:snapToGrid/>
          <w:kern w:val="2"/>
          <w:sz w:val="24"/>
          <w:szCs w:val="24"/>
          <w:lang w:eastAsia="zh-CN"/>
        </w:rPr>
        <w:t>。</w:t>
      </w:r>
      <w:r>
        <w:rPr>
          <w:rFonts w:hint="eastAsia" w:ascii="宋体" w:hAnsi="宋体" w:eastAsia="宋体" w:cs="宋体"/>
          <w:b/>
          <w:bCs/>
          <w:snapToGrid/>
          <w:kern w:val="2"/>
          <w:sz w:val="24"/>
          <w:szCs w:val="24"/>
          <w:lang w:eastAsia="zh-CN"/>
        </w:rPr>
        <w:t>（证据级别：D级；推荐强度：弱推荐）</w:t>
      </w:r>
    </w:p>
    <w:p w14:paraId="726F7F74">
      <w:pPr>
        <w:widowControl w:val="0"/>
        <w:kinsoku/>
        <w:autoSpaceDE/>
        <w:autoSpaceDN/>
        <w:adjustRightInd/>
        <w:snapToGrid/>
        <w:spacing w:line="360" w:lineRule="auto"/>
        <w:ind w:firstLine="480" w:firstLineChars="200"/>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组成：</w:t>
      </w:r>
      <w:r>
        <w:rPr>
          <w:rFonts w:hint="eastAsia" w:ascii="宋体" w:hAnsi="宋体" w:eastAsia="宋体" w:cs="宋体"/>
          <w:snapToGrid/>
          <w:kern w:val="2"/>
          <w:sz w:val="24"/>
          <w:szCs w:val="24"/>
          <w:lang w:eastAsia="zh-CN" w:bidi="ar"/>
        </w:rPr>
        <w:t>熟地，山萸肉，苁蓉，肉桂，巴戟天，附子，石斛，麦冬，五味子，远志，茯苓，菖蒲</w:t>
      </w:r>
      <w:r>
        <w:rPr>
          <w:rFonts w:hint="eastAsia" w:ascii="宋体" w:hAnsi="宋体" w:eastAsia="宋体" w:cs="宋体"/>
          <w:snapToGrid/>
          <w:kern w:val="2"/>
          <w:sz w:val="24"/>
          <w:szCs w:val="24"/>
          <w:lang w:eastAsia="zh-CN"/>
        </w:rPr>
        <w:t>等。</w:t>
      </w:r>
    </w:p>
    <w:p w14:paraId="3A797862">
      <w:pPr>
        <w:pStyle w:val="18"/>
        <w:numPr>
          <w:ilvl w:val="1"/>
          <w:numId w:val="0"/>
        </w:numPr>
        <w:spacing w:before="156" w:after="156"/>
        <w:ind w:left="426"/>
        <w:rPr>
          <w:rFonts w:hAnsi="黑体" w:cs="黑体"/>
          <w:sz w:val="24"/>
          <w:szCs w:val="24"/>
        </w:rPr>
      </w:pPr>
      <w:bookmarkStart w:id="30" w:name="_Toc76212800"/>
      <w:r>
        <w:rPr>
          <w:rFonts w:hint="eastAsia" w:hAnsi="黑体" w:cs="黑体"/>
          <w:sz w:val="24"/>
          <w:szCs w:val="24"/>
        </w:rPr>
        <w:t xml:space="preserve">8.5 </w:t>
      </w:r>
      <w:bookmarkEnd w:id="30"/>
      <w:r>
        <w:rPr>
          <w:rFonts w:hint="eastAsia" w:hAnsi="黑体" w:cs="黑体"/>
          <w:sz w:val="24"/>
          <w:szCs w:val="24"/>
        </w:rPr>
        <w:t>中医传统疗法</w:t>
      </w:r>
    </w:p>
    <w:p w14:paraId="610C092A">
      <w:pPr>
        <w:pStyle w:val="18"/>
        <w:numPr>
          <w:ilvl w:val="1"/>
          <w:numId w:val="0"/>
        </w:numPr>
        <w:spacing w:before="156" w:after="156"/>
        <w:ind w:left="426"/>
      </w:pPr>
      <w:r>
        <w:rPr>
          <w:rFonts w:hint="eastAsia" w:hAnsi="黑体" w:cs="黑体"/>
          <w:sz w:val="24"/>
          <w:szCs w:val="24"/>
        </w:rPr>
        <w:t>8.5.1 针刺</w:t>
      </w:r>
    </w:p>
    <w:p w14:paraId="25C867A0">
      <w:pPr>
        <w:widowControl w:val="0"/>
        <w:kinsoku/>
        <w:autoSpaceDE/>
        <w:autoSpaceDN/>
        <w:adjustRightInd/>
        <w:snapToGrid/>
        <w:spacing w:line="360" w:lineRule="auto"/>
        <w:ind w:firstLine="480" w:firstLineChars="200"/>
        <w:textAlignment w:val="auto"/>
        <w:rPr>
          <w:rFonts w:ascii="宋体" w:hAnsi="宋体" w:eastAsia="宋体" w:cs="宋体"/>
          <w:b/>
          <w:snapToGrid/>
          <w:kern w:val="2"/>
          <w:sz w:val="24"/>
          <w:szCs w:val="24"/>
          <w:lang w:eastAsia="zh-CN"/>
        </w:rPr>
      </w:pPr>
      <w:r>
        <w:rPr>
          <w:rFonts w:hint="eastAsia" w:ascii="宋体" w:hAnsi="宋体" w:eastAsia="宋体" w:cs="宋体"/>
          <w:bCs/>
          <w:snapToGrid/>
          <w:kern w:val="2"/>
          <w:sz w:val="24"/>
          <w:szCs w:val="24"/>
          <w:lang w:eastAsia="zh-CN"/>
        </w:rPr>
        <w:t>针刺疗法是中医传统治疗方法之一，针刺疗法可有效改善难治性高血压的症状，能够有效降低难治性高血压患者收缩压、舒张压，提高降压有效率</w:t>
      </w:r>
      <w:r>
        <w:rPr>
          <w:rFonts w:hint="eastAsia" w:ascii="宋体" w:hAnsi="宋体" w:eastAsia="宋体" w:cs="宋体"/>
          <w:snapToGrid/>
          <w:kern w:val="2"/>
          <w:sz w:val="24"/>
          <w:szCs w:val="24"/>
          <w:vertAlign w:val="superscript"/>
          <w:lang w:eastAsia="zh-CN"/>
        </w:rPr>
        <w:t>[30-32]</w:t>
      </w:r>
      <w:r>
        <w:rPr>
          <w:rFonts w:hint="eastAsia" w:ascii="宋体" w:hAnsi="宋体" w:eastAsia="宋体" w:cs="宋体"/>
          <w:bCs/>
          <w:snapToGrid/>
          <w:kern w:val="2"/>
          <w:sz w:val="24"/>
          <w:szCs w:val="24"/>
          <w:lang w:eastAsia="zh-CN"/>
        </w:rPr>
        <w:t>。</w:t>
      </w:r>
      <w:r>
        <w:rPr>
          <w:rFonts w:hint="eastAsia" w:ascii="宋体" w:hAnsi="宋体" w:eastAsia="宋体" w:cs="宋体"/>
          <w:b/>
          <w:snapToGrid/>
          <w:kern w:val="2"/>
          <w:sz w:val="24"/>
          <w:szCs w:val="24"/>
          <w:lang w:eastAsia="zh-CN"/>
        </w:rPr>
        <w:t>（证据级别：C级；推荐强度：强推荐）</w:t>
      </w:r>
    </w:p>
    <w:p w14:paraId="143C3706">
      <w:pPr>
        <w:pStyle w:val="18"/>
        <w:numPr>
          <w:ilvl w:val="1"/>
          <w:numId w:val="0"/>
        </w:numPr>
        <w:spacing w:before="156" w:after="156"/>
        <w:ind w:left="426"/>
        <w:rPr>
          <w:rFonts w:hAnsi="黑体" w:cs="黑体"/>
          <w:sz w:val="24"/>
          <w:szCs w:val="24"/>
        </w:rPr>
      </w:pPr>
      <w:r>
        <w:rPr>
          <w:rFonts w:hint="eastAsia" w:hAnsi="黑体" w:cs="黑体"/>
          <w:sz w:val="24"/>
          <w:szCs w:val="24"/>
        </w:rPr>
        <w:t>8.5.2 足浴</w:t>
      </w:r>
    </w:p>
    <w:p w14:paraId="6517A91C">
      <w:pPr>
        <w:widowControl w:val="0"/>
        <w:kinsoku/>
        <w:autoSpaceDE/>
        <w:autoSpaceDN/>
        <w:adjustRightInd/>
        <w:snapToGrid/>
        <w:spacing w:line="360" w:lineRule="auto"/>
        <w:ind w:firstLine="480" w:firstLineChars="200"/>
        <w:textAlignment w:val="auto"/>
        <w:rPr>
          <w:rFonts w:ascii="宋体" w:hAnsi="宋体" w:eastAsia="宋体" w:cs="宋体"/>
          <w:bCs/>
          <w:snapToGrid/>
          <w:kern w:val="2"/>
          <w:sz w:val="24"/>
          <w:szCs w:val="24"/>
          <w:lang w:eastAsia="zh-CN"/>
        </w:rPr>
      </w:pPr>
      <w:r>
        <w:rPr>
          <w:rFonts w:hint="eastAsia" w:ascii="宋体" w:hAnsi="宋体" w:eastAsia="宋体" w:cs="宋体"/>
          <w:bCs/>
          <w:snapToGrid/>
          <w:kern w:val="2"/>
          <w:sz w:val="24"/>
          <w:szCs w:val="24"/>
          <w:lang w:eastAsia="zh-CN"/>
        </w:rPr>
        <w:t>中药足浴</w:t>
      </w:r>
      <w:r>
        <w:rPr>
          <w:rFonts w:hint="eastAsia" w:ascii="宋体" w:hAnsi="宋体" w:eastAsia="宋体" w:cs="宋体"/>
          <w:bCs/>
          <w:snapToGrid/>
          <w:kern w:val="2"/>
          <w:sz w:val="24"/>
          <w:szCs w:val="24"/>
          <w:lang w:eastAsia="zh-CN" w:bidi="ar"/>
        </w:rPr>
        <w:t>疗法源远流长</w:t>
      </w:r>
      <w:r>
        <w:rPr>
          <w:rFonts w:hint="eastAsia" w:ascii="宋体" w:hAnsi="宋体" w:eastAsia="宋体" w:cs="宋体"/>
          <w:bCs/>
          <w:snapToGrid/>
          <w:kern w:val="2"/>
          <w:sz w:val="24"/>
          <w:szCs w:val="24"/>
          <w:lang w:eastAsia="zh-CN"/>
        </w:rPr>
        <w:t>，</w:t>
      </w:r>
      <w:r>
        <w:rPr>
          <w:rFonts w:hint="eastAsia" w:ascii="宋体" w:hAnsi="宋体" w:eastAsia="宋体" w:cs="宋体"/>
          <w:bCs/>
          <w:snapToGrid/>
          <w:kern w:val="2"/>
          <w:sz w:val="24"/>
          <w:szCs w:val="24"/>
          <w:lang w:eastAsia="zh-CN" w:bidi="ar"/>
        </w:rPr>
        <w:t>通过温热刺激,使足部循环加速，扩张血管,达到改善足部经络传导及机体自主神经功能的作用, 同时足浴药物可通过足部皮肤吸收进入血液循环,直接改善动脉血管壁的弹性, 解除细小动脉的痉挛状态，使阻力血管扩张, 外周阻力下降而降低血压, 达到治疗目的</w:t>
      </w:r>
      <w:r>
        <w:rPr>
          <w:rFonts w:hint="eastAsia" w:ascii="宋体" w:hAnsi="宋体" w:eastAsia="宋体" w:cs="宋体"/>
          <w:snapToGrid/>
          <w:kern w:val="2"/>
          <w:sz w:val="24"/>
          <w:szCs w:val="24"/>
          <w:vertAlign w:val="superscript"/>
          <w:lang w:eastAsia="zh-CN"/>
        </w:rPr>
        <w:t>[33-37]</w:t>
      </w:r>
      <w:r>
        <w:rPr>
          <w:rFonts w:hint="eastAsia" w:ascii="宋体" w:hAnsi="宋体" w:eastAsia="宋体" w:cs="宋体"/>
          <w:bCs/>
          <w:snapToGrid/>
          <w:kern w:val="2"/>
          <w:sz w:val="24"/>
          <w:szCs w:val="24"/>
          <w:lang w:eastAsia="zh-CN"/>
        </w:rPr>
        <w:t>。</w:t>
      </w:r>
      <w:r>
        <w:rPr>
          <w:rFonts w:hint="eastAsia" w:ascii="宋体" w:hAnsi="宋体" w:eastAsia="宋体" w:cs="宋体"/>
          <w:b/>
          <w:snapToGrid/>
          <w:kern w:val="2"/>
          <w:sz w:val="24"/>
          <w:szCs w:val="24"/>
          <w:lang w:eastAsia="zh-CN"/>
        </w:rPr>
        <w:t xml:space="preserve">（证据级别：C级；推荐强度：强推荐） </w:t>
      </w:r>
    </w:p>
    <w:p w14:paraId="57BF7F65">
      <w:pPr>
        <w:pStyle w:val="18"/>
        <w:numPr>
          <w:ilvl w:val="1"/>
          <w:numId w:val="0"/>
        </w:numPr>
        <w:spacing w:before="156" w:after="156"/>
        <w:ind w:left="426"/>
        <w:rPr>
          <w:rFonts w:hAnsi="黑体" w:cs="黑体"/>
          <w:sz w:val="24"/>
          <w:szCs w:val="24"/>
        </w:rPr>
      </w:pPr>
      <w:r>
        <w:rPr>
          <w:rFonts w:hint="eastAsia" w:hAnsi="黑体" w:cs="黑体"/>
          <w:sz w:val="24"/>
          <w:szCs w:val="24"/>
        </w:rPr>
        <w:t>8.5.3 穴位贴敷</w:t>
      </w:r>
    </w:p>
    <w:p w14:paraId="688738EE">
      <w:pPr>
        <w:widowControl w:val="0"/>
        <w:kinsoku/>
        <w:autoSpaceDE/>
        <w:autoSpaceDN/>
        <w:adjustRightInd/>
        <w:snapToGrid/>
        <w:spacing w:line="360" w:lineRule="auto"/>
        <w:ind w:firstLine="480" w:firstLineChars="200"/>
        <w:textAlignment w:val="auto"/>
        <w:rPr>
          <w:rFonts w:ascii="宋体" w:hAnsi="宋体" w:eastAsia="宋体" w:cs="宋体"/>
          <w:b/>
          <w:snapToGrid/>
          <w:kern w:val="2"/>
          <w:sz w:val="24"/>
          <w:szCs w:val="24"/>
          <w:lang w:eastAsia="zh-CN"/>
        </w:rPr>
      </w:pPr>
      <w:r>
        <w:rPr>
          <w:rFonts w:hint="eastAsia" w:ascii="宋体" w:hAnsi="宋体" w:eastAsia="宋体" w:cs="宋体"/>
          <w:bCs/>
          <w:snapToGrid/>
          <w:kern w:val="2"/>
          <w:sz w:val="24"/>
          <w:szCs w:val="24"/>
          <w:lang w:eastAsia="zh-CN"/>
        </w:rPr>
        <w:t>穴位贴敷通过将具有活血化瘀、平肝潜阳、化痰降浊等功效药物贴敷于特定穴位，借助经络的传导作用，将药物的药效传递到相应的脏腑和经络，以调节人体的气血阴阳平衡。同时，穴位贴敷对穴位局部产生一定的物理刺激，这种刺激可以激发经气，调节经络气血的运行</w:t>
      </w:r>
      <w:r>
        <w:rPr>
          <w:rFonts w:hint="eastAsia" w:ascii="宋体" w:hAnsi="宋体" w:eastAsia="宋体" w:cs="宋体"/>
          <w:snapToGrid/>
          <w:kern w:val="2"/>
          <w:sz w:val="24"/>
          <w:szCs w:val="24"/>
          <w:vertAlign w:val="superscript"/>
          <w:lang w:eastAsia="zh-CN"/>
        </w:rPr>
        <w:t>[38-40]</w:t>
      </w:r>
      <w:r>
        <w:rPr>
          <w:rFonts w:hint="eastAsia" w:ascii="宋体" w:hAnsi="宋体" w:eastAsia="宋体" w:cs="宋体"/>
          <w:bCs/>
          <w:snapToGrid/>
          <w:kern w:val="2"/>
          <w:sz w:val="24"/>
          <w:szCs w:val="24"/>
          <w:lang w:eastAsia="zh-CN"/>
        </w:rPr>
        <w:t>。</w:t>
      </w:r>
      <w:r>
        <w:rPr>
          <w:rFonts w:hint="eastAsia" w:ascii="宋体" w:hAnsi="宋体" w:eastAsia="宋体" w:cs="宋体"/>
          <w:b/>
          <w:snapToGrid/>
          <w:kern w:val="2"/>
          <w:sz w:val="24"/>
          <w:szCs w:val="24"/>
          <w:lang w:eastAsia="zh-CN"/>
        </w:rPr>
        <w:t>（证据级别：D级；推荐强度：弱推荐）</w:t>
      </w:r>
    </w:p>
    <w:p w14:paraId="269FEA3D">
      <w:pPr>
        <w:pStyle w:val="18"/>
        <w:numPr>
          <w:ilvl w:val="1"/>
          <w:numId w:val="0"/>
        </w:numPr>
        <w:spacing w:before="156" w:after="156"/>
        <w:ind w:left="426"/>
        <w:rPr>
          <w:rFonts w:hAnsi="黑体" w:cs="黑体"/>
          <w:sz w:val="24"/>
          <w:szCs w:val="24"/>
        </w:rPr>
      </w:pPr>
      <w:r>
        <w:rPr>
          <w:rFonts w:hint="eastAsia" w:hAnsi="黑体" w:cs="黑体"/>
          <w:sz w:val="24"/>
          <w:szCs w:val="24"/>
        </w:rPr>
        <w:t>8.5.4 穴位埋线</w:t>
      </w:r>
    </w:p>
    <w:p w14:paraId="5FE9EF97">
      <w:pPr>
        <w:widowControl w:val="0"/>
        <w:spacing w:line="360" w:lineRule="auto"/>
        <w:ind w:firstLine="480" w:firstLineChars="200"/>
        <w:rPr>
          <w:rFonts w:ascii="宋体" w:hAnsi="宋体" w:eastAsia="宋体" w:cs="宋体"/>
          <w:b/>
          <w:snapToGrid/>
          <w:kern w:val="2"/>
          <w:sz w:val="24"/>
          <w:szCs w:val="24"/>
          <w:lang w:eastAsia="zh-CN"/>
        </w:rPr>
      </w:pPr>
      <w:r>
        <w:rPr>
          <w:rFonts w:hint="eastAsia" w:ascii="宋体" w:hAnsi="宋体" w:eastAsia="宋体" w:cs="宋体"/>
          <w:bCs/>
          <w:snapToGrid/>
          <w:kern w:val="2"/>
          <w:sz w:val="24"/>
          <w:szCs w:val="24"/>
          <w:lang w:eastAsia="zh-CN"/>
        </w:rPr>
        <w:t>难治性高血压的发生与经络气血的失衡有关。穴位埋线是将可吸收的蛋白线埋入穴位，对穴位产生一种持续而柔和的刺激，这种刺激可长时间作用于人体经络系统，疏通经络，使气血运行恢复正常</w:t>
      </w:r>
      <w:r>
        <w:rPr>
          <w:rFonts w:hint="eastAsia" w:ascii="宋体" w:hAnsi="宋体" w:eastAsia="宋体" w:cs="宋体"/>
          <w:bCs/>
          <w:snapToGrid/>
          <w:kern w:val="2"/>
          <w:sz w:val="24"/>
          <w:szCs w:val="24"/>
          <w:vertAlign w:val="superscript"/>
          <w:lang w:eastAsia="zh-CN"/>
        </w:rPr>
        <w:t>[41-43]</w:t>
      </w:r>
      <w:r>
        <w:rPr>
          <w:rFonts w:hint="eastAsia" w:ascii="宋体" w:hAnsi="宋体" w:eastAsia="宋体" w:cs="宋体"/>
          <w:bCs/>
          <w:snapToGrid/>
          <w:kern w:val="2"/>
          <w:sz w:val="24"/>
          <w:szCs w:val="24"/>
          <w:lang w:eastAsia="zh-CN"/>
        </w:rPr>
        <w:t>。</w:t>
      </w:r>
      <w:r>
        <w:rPr>
          <w:rFonts w:hint="eastAsia" w:ascii="宋体" w:hAnsi="宋体" w:eastAsia="宋体" w:cs="宋体"/>
          <w:b/>
          <w:snapToGrid/>
          <w:kern w:val="2"/>
          <w:sz w:val="24"/>
          <w:szCs w:val="24"/>
          <w:lang w:eastAsia="zh-CN"/>
        </w:rPr>
        <w:t xml:space="preserve">（证据级别：D级；推荐强度：弱推荐） </w:t>
      </w:r>
    </w:p>
    <w:p w14:paraId="2C994DFF">
      <w:pPr>
        <w:pStyle w:val="18"/>
        <w:numPr>
          <w:ilvl w:val="1"/>
          <w:numId w:val="0"/>
        </w:numPr>
        <w:spacing w:before="156" w:after="156"/>
        <w:ind w:left="426"/>
        <w:rPr>
          <w:rFonts w:hAnsi="黑体" w:cs="黑体"/>
          <w:sz w:val="24"/>
          <w:szCs w:val="24"/>
        </w:rPr>
      </w:pPr>
      <w:r>
        <w:rPr>
          <w:rFonts w:hint="eastAsia" w:hAnsi="黑体" w:cs="黑体"/>
          <w:sz w:val="24"/>
          <w:szCs w:val="24"/>
        </w:rPr>
        <w:t>8.5.5 耳穴贴压</w:t>
      </w:r>
      <w:bookmarkStart w:id="31" w:name="_Toc11555"/>
    </w:p>
    <w:p w14:paraId="1051F6D2">
      <w:pPr>
        <w:widowControl w:val="0"/>
        <w:spacing w:line="360" w:lineRule="auto"/>
        <w:ind w:firstLine="480" w:firstLineChars="200"/>
        <w:rPr>
          <w:rFonts w:ascii="宋体" w:hAnsi="宋体" w:eastAsia="宋体" w:cs="宋体"/>
          <w:b/>
          <w:snapToGrid/>
          <w:kern w:val="2"/>
          <w:sz w:val="24"/>
          <w:szCs w:val="24"/>
          <w:lang w:eastAsia="zh-CN"/>
        </w:rPr>
      </w:pPr>
      <w:r>
        <w:rPr>
          <w:rFonts w:hint="eastAsia" w:ascii="宋体" w:hAnsi="宋体" w:eastAsia="宋体" w:cs="宋体"/>
          <w:bCs/>
          <w:snapToGrid/>
          <w:kern w:val="2"/>
          <w:sz w:val="24"/>
          <w:szCs w:val="24"/>
          <w:lang w:eastAsia="zh-CN"/>
        </w:rPr>
        <w:t>耳部分布着丰富的神经，包括耳大神经、枕小神经、迷走神经等分支。耳穴贴压通过刺激耳部特定穴位，如神门、降压沟、肾上腺反应点、耳尖、肝穴、肾穴等穴位，借助经络的传导作用，调节脏腑功能和气血运行。耳穴贴压时，耳穴处的感受器受到刺激，产生的神经冲动可通过神经传导通路传至中枢神经系统，影响血压</w:t>
      </w:r>
      <w:r>
        <w:rPr>
          <w:rFonts w:hint="eastAsia" w:ascii="宋体" w:hAnsi="宋体" w:eastAsia="宋体" w:cs="宋体"/>
          <w:bCs/>
          <w:snapToGrid/>
          <w:kern w:val="2"/>
          <w:sz w:val="24"/>
          <w:szCs w:val="24"/>
          <w:vertAlign w:val="superscript"/>
          <w:lang w:eastAsia="zh-CN"/>
        </w:rPr>
        <w:t>[44,45]</w:t>
      </w:r>
      <w:r>
        <w:rPr>
          <w:rFonts w:hint="eastAsia" w:ascii="宋体" w:hAnsi="宋体" w:eastAsia="宋体" w:cs="宋体"/>
          <w:bCs/>
          <w:snapToGrid/>
          <w:kern w:val="2"/>
          <w:sz w:val="24"/>
          <w:szCs w:val="24"/>
          <w:lang w:eastAsia="zh-CN"/>
        </w:rPr>
        <w:t>。</w:t>
      </w:r>
      <w:r>
        <w:rPr>
          <w:rFonts w:hint="eastAsia" w:ascii="宋体" w:hAnsi="宋体" w:eastAsia="宋体" w:cs="宋体"/>
          <w:b/>
          <w:snapToGrid/>
          <w:kern w:val="2"/>
          <w:sz w:val="24"/>
          <w:szCs w:val="24"/>
          <w:lang w:eastAsia="zh-CN"/>
        </w:rPr>
        <w:t>（证据级别：D级；推荐强度：强推荐）</w:t>
      </w:r>
    </w:p>
    <w:bookmarkEnd w:id="31"/>
    <w:p w14:paraId="33769F32">
      <w:pPr>
        <w:pStyle w:val="18"/>
        <w:numPr>
          <w:ilvl w:val="1"/>
          <w:numId w:val="0"/>
        </w:numPr>
        <w:spacing w:before="156" w:after="156" w:line="360" w:lineRule="auto"/>
        <w:ind w:left="426"/>
        <w:rPr>
          <w:rFonts w:hAnsi="黑体" w:cs="黑体"/>
        </w:rPr>
      </w:pPr>
      <w:r>
        <w:rPr>
          <w:rFonts w:hint="eastAsia" w:hAnsi="黑体" w:cs="黑体"/>
        </w:rPr>
        <w:t>参考文献</w:t>
      </w:r>
    </w:p>
    <w:p w14:paraId="68C610E3">
      <w:pPr>
        <w:numPr>
          <w:ilvl w:val="0"/>
          <w:numId w:val="3"/>
        </w:numPr>
        <w:spacing w:line="360" w:lineRule="auto"/>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中国高血压防治指南修订委员会,高血压联盟(中国),中国医疗保健国际交流促进会高血压病学分会,等.中国高血压防治指南(2024年修订版)[J].中华高血压杂志(中英文),2024,32(07):603-700.</w:t>
      </w:r>
    </w:p>
    <w:p w14:paraId="1182B87F">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Vongpatanasin, W, Turcu, A. F. The Journey of Resistant Hypertension: From the Fifth Report of the Joint National Committee on Detection, Evaluation, and Treatment of High Blood Pressure to American Heart Association/American College of Cardiology Guidelines. Circulation, </w:t>
      </w:r>
      <w:r>
        <w:rPr>
          <w:rFonts w:hint="eastAsia" w:ascii="Times New Roman" w:hAnsi="Times New Roman" w:eastAsia="宋体" w:cs="Times New Roman"/>
          <w:sz w:val="24"/>
          <w:szCs w:val="24"/>
          <w:lang w:eastAsia="zh-CN"/>
        </w:rPr>
        <w:t xml:space="preserve">2025, </w:t>
      </w:r>
      <w:r>
        <w:rPr>
          <w:rFonts w:ascii="Times New Roman" w:hAnsi="Times New Roman" w:eastAsia="宋体" w:cs="Times New Roman"/>
          <w:sz w:val="24"/>
          <w:szCs w:val="24"/>
          <w:lang w:eastAsia="zh-CN"/>
        </w:rPr>
        <w:t xml:space="preserve">151(10), 653–655. </w:t>
      </w:r>
    </w:p>
    <w:p w14:paraId="5EECA66B">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梅延康,庄欣,杨洁,等.中医诊疗难治性高血压的研究进展[J].现代中西医结合杂志,2022,31(09):1305-1309.</w:t>
      </w:r>
    </w:p>
    <w:p w14:paraId="37B93F3F">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NoubiapJJ,NansseuJR,NyagaUF,etal.Global prevalence of resistant hypertension:a meta-analysis of data from 3.2 million patients[J].Heart,2019,105(2):98-105.</w:t>
      </w:r>
    </w:p>
    <w:p w14:paraId="58BC2EB3">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CareyRM,SakhujaS,CalhounDA,etal.Prevalenceofapparenttreatment-resistanthypertensionintheUnitedStates[J].Hypertension,2019,73(2):424-431.</w:t>
      </w:r>
    </w:p>
    <w:p w14:paraId="46586890">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AnJ,KurellaTamuraM,OddenMC,etal.Prevalenceofapparenttreatment-resistanthypertensioninchronickidneydiseasein</w:t>
      </w:r>
      <w:r>
        <w:rPr>
          <w:rFonts w:hint="eastAsia" w:ascii="Times New Roman" w:hAnsi="Times New Roman" w:eastAsia="宋体" w:cs="Times New Roman"/>
          <w:sz w:val="24"/>
          <w:szCs w:val="24"/>
          <w:lang w:eastAsia="zh-CN"/>
        </w:rPr>
        <w:t xml:space="preserve"> </w:t>
      </w:r>
      <w:r>
        <w:rPr>
          <w:rFonts w:ascii="Times New Roman" w:hAnsi="Times New Roman" w:eastAsia="宋体" w:cs="Times New Roman"/>
          <w:sz w:val="24"/>
          <w:szCs w:val="24"/>
          <w:lang w:eastAsia="zh-CN"/>
        </w:rPr>
        <w:t>twolargeUSHealthCareSystems[J].ClinJAmSocNephrol,</w:t>
      </w:r>
      <w:r>
        <w:rPr>
          <w:rFonts w:hint="eastAsia" w:ascii="Times New Roman" w:hAnsi="Times New Roman" w:eastAsia="宋体" w:cs="Times New Roman"/>
          <w:sz w:val="24"/>
          <w:szCs w:val="24"/>
          <w:lang w:eastAsia="zh-CN"/>
        </w:rPr>
        <w:t xml:space="preserve"> </w:t>
      </w:r>
      <w:r>
        <w:rPr>
          <w:rFonts w:ascii="Times New Roman" w:hAnsi="Times New Roman" w:eastAsia="宋体" w:cs="Times New Roman"/>
          <w:sz w:val="24"/>
          <w:szCs w:val="24"/>
          <w:lang w:eastAsia="zh-CN"/>
        </w:rPr>
        <w:t>2022,17(10):1457-1466.</w:t>
      </w:r>
    </w:p>
    <w:p w14:paraId="48B0267E">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Wu C,Wang Y,Zhang W,etal.Prevalence and characteristics Of  apparent treatment-resistant hypertension in olde rpeople in</w:t>
      </w:r>
      <w:r>
        <w:rPr>
          <w:rFonts w:hint="eastAsia" w:ascii="Times New Roman" w:hAnsi="Times New Roman" w:eastAsia="宋体" w:cs="Times New Roman"/>
          <w:sz w:val="24"/>
          <w:szCs w:val="24"/>
          <w:lang w:eastAsia="zh-CN"/>
        </w:rPr>
        <w:t xml:space="preserve"> </w:t>
      </w:r>
      <w:r>
        <w:rPr>
          <w:rFonts w:ascii="Times New Roman" w:hAnsi="Times New Roman" w:eastAsia="宋体" w:cs="Times New Roman"/>
          <w:sz w:val="24"/>
          <w:szCs w:val="24"/>
          <w:lang w:eastAsia="zh-CN"/>
        </w:rPr>
        <w:t>China:across-sectionalstudy[J].ClinExpHypertens,2019,41</w:t>
      </w:r>
      <w:r>
        <w:rPr>
          <w:rFonts w:hint="eastAsia" w:ascii="Times New Roman" w:hAnsi="Times New Roman" w:eastAsia="宋体" w:cs="Times New Roman"/>
          <w:sz w:val="24"/>
          <w:szCs w:val="24"/>
          <w:lang w:eastAsia="zh-CN"/>
        </w:rPr>
        <w:t xml:space="preserve"> </w:t>
      </w:r>
      <w:r>
        <w:rPr>
          <w:rFonts w:ascii="Times New Roman" w:hAnsi="Times New Roman" w:eastAsia="宋体" w:cs="Times New Roman"/>
          <w:sz w:val="24"/>
          <w:szCs w:val="24"/>
          <w:lang w:eastAsia="zh-CN"/>
        </w:rPr>
        <w:t>(8):753-758</w:t>
      </w:r>
    </w:p>
    <w:p w14:paraId="28C182DF">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杨明.双轨道互动护理干预模式在顽固性高血压患者中的应用效果分析[J].基层医学论坛,2023,27(36):73-75.</w:t>
      </w:r>
    </w:p>
    <w:p w14:paraId="22C66959">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罗志贤,罗志攀,冯裕欣.综合疗法用于治疗顽固性高血压效果观察[J].中国医药科学,2014,4(07):186-188.</w:t>
      </w:r>
    </w:p>
    <w:p w14:paraId="30C447FC">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欧阳俊,张秀丽,香锦霞,等.整体护理在老年顽固性高血压患者中的临床效果观察[J].医药前沿,2021,11(18):136-137.</w:t>
      </w:r>
    </w:p>
    <w:p w14:paraId="750A616A">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宗金红.中医适宜技术在不同体质难治性高血压患者中的应用研究[J].中国民间疗法,2019,27(06):8-10.</w:t>
      </w:r>
    </w:p>
    <w:p w14:paraId="2A481BAA">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王俊琴.半夏白术天麻汤合针刺联合西药治疗痰湿壅盛型顽固性高血压34例[J].中医研究,2014,27(05):59-61.</w:t>
      </w:r>
    </w:p>
    <w:p w14:paraId="2B5A21D9">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陈广进,梁兜选,李美红.半夏白术天麻汤加减配合中药沐足治疗顽固性高血压的临床效果[J].中国当代医药,2021,28(27):177-179.</w:t>
      </w:r>
    </w:p>
    <w:p w14:paraId="3BD15A8C">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宋日辉.化痰活血平肝方联合西药治疗顽固性高血压的临床效果[J].中国当代医药,2015,22(20):142-143+146.</w:t>
      </w:r>
    </w:p>
    <w:p w14:paraId="698B8918">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王玥坤.化痰祛湿、平肝潜阳方联合常规西医治疗顽固性高血压(痰湿壅盛证)的作用探讨[J].医学理论与实践,2024,37(16):2748-2751.</w:t>
      </w:r>
    </w:p>
    <w:p w14:paraId="29174E90">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孙贤.运脾化痰汤对痰湿中阻型难治性高血压的临床观察[D].河北北方学院,2020.</w:t>
      </w:r>
    </w:p>
    <w:p w14:paraId="7E2DB2EA">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吴樱,付婷婷,梁天山.中西医结合治疗对老年难治性高血压患者疗效和血压变异性的影响研究[J].中国医药科学,2020,10(23):15-18.</w:t>
      </w:r>
    </w:p>
    <w:p w14:paraId="3A35BB96">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曲凡,杨锡燕.五苓散合黄连解毒汤加减治疗难治性高血压的临床效果[J].中国老年学杂志,2020,40(04):692-694.</w:t>
      </w:r>
    </w:p>
    <w:p w14:paraId="3A6A37A5">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朱玉江.对于顽固性高血压患者实施中西医结合治疗的临床效果[J].兵团医学,2023,21(02):31-32.</w:t>
      </w:r>
    </w:p>
    <w:p w14:paraId="17E579BA">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钟礼强.血府逐瘀汤联合西药治疗难治性高血压随机平行对照研究[J].实用中医内科杂志,2015,29(08):127-129.</w:t>
      </w:r>
    </w:p>
    <w:p w14:paraId="597BA4AB">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柴文亮.对老年难治性高血压患者实施中西医结合治疗的疗效研究[J].中西医结合心血管病电子杂,2016,4(24):87+89.</w:t>
      </w:r>
    </w:p>
    <w:p w14:paraId="776914A0">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李钊华.血府逐瘀汤联合西药治疗老年难治性高血压[J].实用中医内科杂志,2019,33(09):35-38.</w:t>
      </w:r>
    </w:p>
    <w:p w14:paraId="15493C88">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王冠军,阮列敏,戴霓,等.血府逐瘀汤联合西药治疗老年难治性高血压的临床研究[J].中国临床药理学杂志,2017,33(12):1158-1160.</w:t>
      </w:r>
    </w:p>
    <w:p w14:paraId="35A3F15E">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甘莉,夏粉仙,余健,等.天麻钩藤饮加减煎服联合耳尖放血疗法治疗高血压临床研究[J].中华中医药学刊,2012,30(12):2786-2788.</w:t>
      </w:r>
    </w:p>
    <w:p w14:paraId="6D6F7352">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邢菲,徐京育,冯欣.中西医结合治疗顽固性高血压病36例临床观察[J].湖南中医杂志,2016,32(04):44-45.</w:t>
      </w:r>
    </w:p>
    <w:p w14:paraId="67A7F843">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贾晓伟,高萍.补肾平肝方内服加浴足治疗肝火亢盛证难治性高血压47例[J].中国实验方剂学杂志,2015,21(12):174-177.</w:t>
      </w:r>
    </w:p>
    <w:p w14:paraId="31EC1CB3">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智海燕.对于顽固性高血压患者实施中西医结合治疗的临床效果观察[J].世界最新医学信息文摘, 2020(77):2.</w:t>
      </w:r>
    </w:p>
    <w:p w14:paraId="4A15CA41">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钱轶华,钱卫东.宁脉潜阳颗粒治疗难治性高血压临床分析[J].系统医学,2018,3(24):24-26.</w:t>
      </w:r>
    </w:p>
    <w:p w14:paraId="40FD078A">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王春亮,来于.地黄饮子胶囊联合西医常规疗法治疗难治性高血压阴阳两虚证临床研究[J].中国中医药信息杂志,2020,27(12):21-25.</w:t>
      </w:r>
    </w:p>
    <w:p w14:paraId="46171080">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陈丽霞.电耳针联合西药治疗顽固性高血压的临床观察[J].内蒙古中医药,2023,42(02):67-70.</w:t>
      </w:r>
    </w:p>
    <w:p w14:paraId="7DE0D065">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沈志坤,邵慈慧,蒋培余,等.针刺足三里合用降压药物治疗顽固性高血压25例[J].陕西中医,2007,(10):1377-1378.</w:t>
      </w:r>
    </w:p>
    <w:p w14:paraId="34A7A0FD">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宋倩.针灸治疗顽固性高血压的疗效观察[J].数理医药学杂志,2020,33(08):1139-1140.</w:t>
      </w:r>
    </w:p>
    <w:p w14:paraId="1DD7CBC6">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郑明凤,苏秀青,孔苓,等.老年顽固性高血压中药熏洗的疗效观察[J].中国卫生标准管理,2018,9(08):106-108.</w:t>
      </w:r>
    </w:p>
    <w:p w14:paraId="7AB137CE">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周淑平,钱锋.联合中药浴足治疗顽固性高血压疗效观察[J].中国实用医药,2015,10(23):25-27.</w:t>
      </w:r>
    </w:p>
    <w:p w14:paraId="7BB6C19C">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吴小和,戴玉,董姣姣,等.特制足浴方对难治性高血压的治疗效果研究[J].江西中医药大学学报,2020,32(05):33-35.</w:t>
      </w:r>
    </w:p>
    <w:p w14:paraId="2D2E6D8B">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陈笑莹,郑明凤,苏秀青.中药熏洗联合药物治疗在老年顽固性高血压患者中的应用[J].齐鲁护理杂志,2018,24(08):39-41.</w:t>
      </w:r>
    </w:p>
    <w:p w14:paraId="692D2850">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钱锋,张晓华,于清华.中药浴足联合滋补肝肾潜阳颗粒治疗顽固性高血压临床疗效评价[J].中医临床研究,2019,11(04):116-118.</w:t>
      </w:r>
    </w:p>
    <w:p w14:paraId="04707575">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林秋娥,邓蕾.吴茱萸贴敷涌泉穴治疗难治性高血压疗效观察[J].蛇志,2019,31(04):520-521.</w:t>
      </w:r>
    </w:p>
    <w:p w14:paraId="6956CEA9">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唐善慈.穴位贴敷治疗难治性高血压疗效观察[J].中西医结合心血管病电子杂志,2019,7(16):193-194.</w:t>
      </w:r>
    </w:p>
    <w:p w14:paraId="42431C56">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赵贤珍.针刺加穴位贴敷治疗难治性高血压病的临床研究[J].中西医结合心血管病电子杂志,2015,3(33):73-74.</w:t>
      </w:r>
    </w:p>
    <w:p w14:paraId="23A2DB26">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高军大,刘桂英,陶燕,等.穴位埋线加穴位注射配合口服降压药治疗难治性高血压38例临床观察[C]//甘肃省中医药学会.2011年甘肃省中医药学会学术年会论文集.民勤县人民医院;民勤县妇幼保健院;,2011:323-326.</w:t>
      </w:r>
    </w:p>
    <w:p w14:paraId="39BDF45B">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田元生,程广书,王新义,等.穴位埋线治疗顽固性高血压46例[J].中医研究,2008,(01):55-56.</w:t>
      </w:r>
    </w:p>
    <w:p w14:paraId="47541FB3">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张腾云,郭泉滢,田元生,等.中西医结合治疗难治性高血压35例临床观察[J].中国民族民间医药,2020,29(23):98-101.</w:t>
      </w:r>
    </w:p>
    <w:p w14:paraId="0150EB4D">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陈富玲.耳穴贴压配合中医护理治疗顽固性高血压疗效观察[J].中医临床研究,2016,8(01):134-136.</w:t>
      </w:r>
    </w:p>
    <w:p w14:paraId="185F9136">
      <w:pPr>
        <w:numPr>
          <w:ilvl w:val="0"/>
          <w:numId w:val="3"/>
        </w:numPr>
        <w:spacing w:line="36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王爱方.用耳穴压豆法治疗顽固性高血压的效果研析[J].当代医药论丛,2019,17(18):162-163.</w:t>
      </w:r>
    </w:p>
    <w:p w14:paraId="25528CDA">
      <w:pPr>
        <w:kinsoku/>
        <w:autoSpaceDE/>
        <w:autoSpaceDN/>
        <w:adjustRightInd/>
        <w:snapToGrid/>
        <w:spacing w:line="360" w:lineRule="auto"/>
        <w:textAlignment w:val="auto"/>
        <w:rPr>
          <w:rFonts w:ascii="Times New Roman" w:hAnsi="Times New Roman" w:eastAsia="宋体" w:cs="Times New Roman"/>
          <w:lang w:eastAsia="zh-CN"/>
        </w:rPr>
      </w:pPr>
    </w:p>
    <w:p w14:paraId="6AF24A11">
      <w:pPr>
        <w:kinsoku/>
        <w:autoSpaceDE/>
        <w:autoSpaceDN/>
        <w:adjustRightInd/>
        <w:snapToGrid/>
        <w:spacing w:line="360" w:lineRule="auto"/>
        <w:textAlignment w:val="auto"/>
        <w:rPr>
          <w:rFonts w:ascii="Times New Roman" w:hAnsi="Times New Roman" w:eastAsia="宋体" w:cs="Times New Roman"/>
          <w:lang w:eastAsia="zh-CN"/>
        </w:rPr>
      </w:pPr>
    </w:p>
    <w:p w14:paraId="6C105F94">
      <w:pPr>
        <w:kinsoku/>
        <w:autoSpaceDE/>
        <w:autoSpaceDN/>
        <w:adjustRightInd/>
        <w:snapToGrid/>
        <w:spacing w:line="360" w:lineRule="auto"/>
        <w:textAlignment w:val="auto"/>
        <w:rPr>
          <w:rFonts w:ascii="Times New Roman" w:hAnsi="Times New Roman" w:eastAsia="宋体" w:cs="Times New Roman"/>
          <w:lang w:eastAsia="zh-CN"/>
        </w:rPr>
      </w:pPr>
    </w:p>
    <w:p w14:paraId="4B2F9A7D">
      <w:pPr>
        <w:kinsoku/>
        <w:autoSpaceDE/>
        <w:autoSpaceDN/>
        <w:adjustRightInd/>
        <w:snapToGrid/>
        <w:spacing w:line="360" w:lineRule="auto"/>
        <w:textAlignment w:val="auto"/>
        <w:rPr>
          <w:rFonts w:ascii="Times New Roman" w:hAnsi="Times New Roman" w:eastAsia="宋体" w:cs="Times New Roman"/>
          <w:lang w:eastAsia="zh-CN"/>
        </w:rPr>
      </w:pPr>
    </w:p>
    <w:p w14:paraId="7C4692A3">
      <w:pPr>
        <w:kinsoku/>
        <w:autoSpaceDE/>
        <w:autoSpaceDN/>
        <w:adjustRightInd/>
        <w:snapToGrid/>
        <w:spacing w:line="360" w:lineRule="auto"/>
        <w:textAlignment w:val="auto"/>
        <w:rPr>
          <w:rFonts w:ascii="Times New Roman" w:hAnsi="Times New Roman" w:eastAsia="宋体" w:cs="Times New Roman"/>
          <w:lang w:eastAsia="zh-CN"/>
        </w:rPr>
      </w:pPr>
    </w:p>
    <w:p w14:paraId="3A746044">
      <w:pPr>
        <w:kinsoku/>
        <w:autoSpaceDE/>
        <w:autoSpaceDN/>
        <w:adjustRightInd/>
        <w:snapToGrid/>
        <w:spacing w:line="360" w:lineRule="auto"/>
        <w:textAlignment w:val="auto"/>
        <w:rPr>
          <w:rFonts w:ascii="Times New Roman" w:hAnsi="Times New Roman" w:eastAsia="宋体" w:cs="Times New Roman"/>
          <w:lang w:eastAsia="zh-CN"/>
        </w:rPr>
      </w:pPr>
    </w:p>
    <w:p w14:paraId="1D9DDDA8">
      <w:pPr>
        <w:kinsoku/>
        <w:autoSpaceDE/>
        <w:autoSpaceDN/>
        <w:adjustRightInd/>
        <w:snapToGrid/>
        <w:spacing w:line="360" w:lineRule="auto"/>
        <w:textAlignment w:val="auto"/>
        <w:rPr>
          <w:rFonts w:ascii="Times New Roman" w:hAnsi="Times New Roman" w:eastAsia="宋体" w:cs="Times New Roman"/>
          <w:lang w:eastAsia="zh-CN"/>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21834">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F5577">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4DFF5577">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69FFA">
    <w:pPr>
      <w:pStyle w:val="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9CE10">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30B9CE10">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91A1C">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AEFE9D"/>
    <w:multiLevelType w:val="singleLevel"/>
    <w:tmpl w:val="C7AEFE9D"/>
    <w:lvl w:ilvl="0" w:tentative="0">
      <w:start w:val="1"/>
      <w:numFmt w:val="decimal"/>
      <w:lvlText w:val="[%1]"/>
      <w:lvlJc w:val="left"/>
      <w:pPr>
        <w:tabs>
          <w:tab w:val="left" w:pos="312"/>
        </w:tabs>
      </w:pPr>
    </w:lvl>
  </w:abstractNum>
  <w:abstractNum w:abstractNumId="1">
    <w:nsid w:val="E1A3A05C"/>
    <w:multiLevelType w:val="singleLevel"/>
    <w:tmpl w:val="E1A3A05C"/>
    <w:lvl w:ilvl="0" w:tentative="0">
      <w:start w:val="1"/>
      <w:numFmt w:val="lowerLetter"/>
      <w:lvlText w:val="%1)"/>
      <w:lvlJc w:val="left"/>
      <w:pPr>
        <w:tabs>
          <w:tab w:val="left" w:pos="312"/>
        </w:tabs>
      </w:pPr>
    </w:lvl>
  </w:abstractNum>
  <w:abstractNum w:abstractNumId="2">
    <w:nsid w:val="1FC91163"/>
    <w:multiLevelType w:val="multilevel"/>
    <w:tmpl w:val="1FC91163"/>
    <w:lvl w:ilvl="0" w:tentative="0">
      <w:start w:val="1"/>
      <w:numFmt w:val="decimal"/>
      <w:pStyle w:val="16"/>
      <w:suff w:val="nothing"/>
      <w:lvlText w:val="%1　"/>
      <w:lvlJc w:val="left"/>
      <w:pPr>
        <w:ind w:left="284" w:firstLine="0"/>
      </w:pPr>
      <w:rPr>
        <w:rFonts w:hint="eastAsia" w:ascii="黑体" w:hAnsi="Times New Roman" w:eastAsia="黑体"/>
        <w:b w:val="0"/>
        <w:i w:val="0"/>
        <w:sz w:val="21"/>
        <w:szCs w:val="21"/>
      </w:rPr>
    </w:lvl>
    <w:lvl w:ilvl="1" w:tentative="0">
      <w:start w:val="1"/>
      <w:numFmt w:val="decimal"/>
      <w:pStyle w:val="18"/>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wNmY1MThmNjAxZmY5YzQ1N2NiOWVmM2ExYWUyODUifQ=="/>
  </w:docVars>
  <w:rsids>
    <w:rsidRoot w:val="3EFD0B0C"/>
    <w:rsid w:val="00007140"/>
    <w:rsid w:val="000128BA"/>
    <w:rsid w:val="00016D45"/>
    <w:rsid w:val="000262F2"/>
    <w:rsid w:val="0003356A"/>
    <w:rsid w:val="0003703E"/>
    <w:rsid w:val="000A4662"/>
    <w:rsid w:val="000B5811"/>
    <w:rsid w:val="000C0BC0"/>
    <w:rsid w:val="000C1862"/>
    <w:rsid w:val="000C6406"/>
    <w:rsid w:val="000E7785"/>
    <w:rsid w:val="0013715F"/>
    <w:rsid w:val="00183E2D"/>
    <w:rsid w:val="001A2E03"/>
    <w:rsid w:val="001D6020"/>
    <w:rsid w:val="001F742E"/>
    <w:rsid w:val="001F7689"/>
    <w:rsid w:val="00263BBD"/>
    <w:rsid w:val="0026615C"/>
    <w:rsid w:val="002664AC"/>
    <w:rsid w:val="00285193"/>
    <w:rsid w:val="002A6828"/>
    <w:rsid w:val="002A74AD"/>
    <w:rsid w:val="00314045"/>
    <w:rsid w:val="0031577D"/>
    <w:rsid w:val="00364116"/>
    <w:rsid w:val="003A6DF4"/>
    <w:rsid w:val="003B5696"/>
    <w:rsid w:val="003D5AB4"/>
    <w:rsid w:val="003D5F47"/>
    <w:rsid w:val="003E4A7E"/>
    <w:rsid w:val="003F60F6"/>
    <w:rsid w:val="00412964"/>
    <w:rsid w:val="00437BBB"/>
    <w:rsid w:val="00447D5A"/>
    <w:rsid w:val="00453E2A"/>
    <w:rsid w:val="004E25F7"/>
    <w:rsid w:val="00532D1E"/>
    <w:rsid w:val="00561754"/>
    <w:rsid w:val="0057650F"/>
    <w:rsid w:val="0059413E"/>
    <w:rsid w:val="005A2D64"/>
    <w:rsid w:val="005A47EC"/>
    <w:rsid w:val="005B4704"/>
    <w:rsid w:val="005B5DA4"/>
    <w:rsid w:val="005D2854"/>
    <w:rsid w:val="0061279D"/>
    <w:rsid w:val="00616B6E"/>
    <w:rsid w:val="0064567B"/>
    <w:rsid w:val="006508F1"/>
    <w:rsid w:val="00666969"/>
    <w:rsid w:val="00677C67"/>
    <w:rsid w:val="0068568D"/>
    <w:rsid w:val="00691379"/>
    <w:rsid w:val="006B48D5"/>
    <w:rsid w:val="006C03EE"/>
    <w:rsid w:val="006D5CC0"/>
    <w:rsid w:val="006E5812"/>
    <w:rsid w:val="006F7594"/>
    <w:rsid w:val="008124D5"/>
    <w:rsid w:val="00875786"/>
    <w:rsid w:val="008A6EFF"/>
    <w:rsid w:val="008B5DD0"/>
    <w:rsid w:val="008D5968"/>
    <w:rsid w:val="008F6C90"/>
    <w:rsid w:val="00956703"/>
    <w:rsid w:val="00961505"/>
    <w:rsid w:val="00964ADE"/>
    <w:rsid w:val="009A30A0"/>
    <w:rsid w:val="009A7605"/>
    <w:rsid w:val="009D25FD"/>
    <w:rsid w:val="009E7672"/>
    <w:rsid w:val="009F401C"/>
    <w:rsid w:val="00A100A5"/>
    <w:rsid w:val="00A37E4F"/>
    <w:rsid w:val="00A40A11"/>
    <w:rsid w:val="00A43DB1"/>
    <w:rsid w:val="00A543C4"/>
    <w:rsid w:val="00A6781D"/>
    <w:rsid w:val="00B32474"/>
    <w:rsid w:val="00B35909"/>
    <w:rsid w:val="00B45CFB"/>
    <w:rsid w:val="00B826DB"/>
    <w:rsid w:val="00B87F47"/>
    <w:rsid w:val="00BA34FC"/>
    <w:rsid w:val="00BA3961"/>
    <w:rsid w:val="00C06E2A"/>
    <w:rsid w:val="00C3791C"/>
    <w:rsid w:val="00C42991"/>
    <w:rsid w:val="00C550BC"/>
    <w:rsid w:val="00C763BD"/>
    <w:rsid w:val="00C763E0"/>
    <w:rsid w:val="00C7787B"/>
    <w:rsid w:val="00C81DCF"/>
    <w:rsid w:val="00C8250F"/>
    <w:rsid w:val="00C96F30"/>
    <w:rsid w:val="00CB6D9E"/>
    <w:rsid w:val="00D37538"/>
    <w:rsid w:val="00D50E33"/>
    <w:rsid w:val="00D9637F"/>
    <w:rsid w:val="00DB48F5"/>
    <w:rsid w:val="00DD0473"/>
    <w:rsid w:val="00E11C90"/>
    <w:rsid w:val="00E54DD3"/>
    <w:rsid w:val="00E56967"/>
    <w:rsid w:val="00E949C3"/>
    <w:rsid w:val="00EB1488"/>
    <w:rsid w:val="00F03ACE"/>
    <w:rsid w:val="00F17544"/>
    <w:rsid w:val="00F3546D"/>
    <w:rsid w:val="00F4172C"/>
    <w:rsid w:val="00F47609"/>
    <w:rsid w:val="00F51B90"/>
    <w:rsid w:val="00F767DF"/>
    <w:rsid w:val="00FC2B34"/>
    <w:rsid w:val="00FE1942"/>
    <w:rsid w:val="01057174"/>
    <w:rsid w:val="01182C38"/>
    <w:rsid w:val="0123584C"/>
    <w:rsid w:val="012E0C44"/>
    <w:rsid w:val="014F219D"/>
    <w:rsid w:val="015500B5"/>
    <w:rsid w:val="01635C49"/>
    <w:rsid w:val="01AB58B8"/>
    <w:rsid w:val="01BF37C7"/>
    <w:rsid w:val="020411DA"/>
    <w:rsid w:val="0213141D"/>
    <w:rsid w:val="021A0DE5"/>
    <w:rsid w:val="021D391B"/>
    <w:rsid w:val="022D4D58"/>
    <w:rsid w:val="02510197"/>
    <w:rsid w:val="02820350"/>
    <w:rsid w:val="02A227A1"/>
    <w:rsid w:val="02B56978"/>
    <w:rsid w:val="02E5725D"/>
    <w:rsid w:val="03404493"/>
    <w:rsid w:val="035166A0"/>
    <w:rsid w:val="03802AE2"/>
    <w:rsid w:val="038A1793"/>
    <w:rsid w:val="03A8028B"/>
    <w:rsid w:val="03D80B70"/>
    <w:rsid w:val="03ED4C90"/>
    <w:rsid w:val="04043713"/>
    <w:rsid w:val="040F20B8"/>
    <w:rsid w:val="04406715"/>
    <w:rsid w:val="04455AD9"/>
    <w:rsid w:val="044A5F49"/>
    <w:rsid w:val="044F0706"/>
    <w:rsid w:val="04545D1C"/>
    <w:rsid w:val="0495080F"/>
    <w:rsid w:val="049D76C3"/>
    <w:rsid w:val="04B213C1"/>
    <w:rsid w:val="04C03044"/>
    <w:rsid w:val="04ED064B"/>
    <w:rsid w:val="04EE7F1F"/>
    <w:rsid w:val="04F574FF"/>
    <w:rsid w:val="051160A8"/>
    <w:rsid w:val="055B3806"/>
    <w:rsid w:val="056B1570"/>
    <w:rsid w:val="056F0A41"/>
    <w:rsid w:val="05726DA2"/>
    <w:rsid w:val="05850F9E"/>
    <w:rsid w:val="05D2339D"/>
    <w:rsid w:val="05F6352F"/>
    <w:rsid w:val="06043E9E"/>
    <w:rsid w:val="062C0CFF"/>
    <w:rsid w:val="068C5C42"/>
    <w:rsid w:val="06F07F7E"/>
    <w:rsid w:val="07597FDD"/>
    <w:rsid w:val="07691ADF"/>
    <w:rsid w:val="076C193D"/>
    <w:rsid w:val="077D76EE"/>
    <w:rsid w:val="07C05BA3"/>
    <w:rsid w:val="07E31891"/>
    <w:rsid w:val="07F615C4"/>
    <w:rsid w:val="080207BD"/>
    <w:rsid w:val="080804DF"/>
    <w:rsid w:val="08122176"/>
    <w:rsid w:val="08422A5C"/>
    <w:rsid w:val="085D7896"/>
    <w:rsid w:val="088C1F29"/>
    <w:rsid w:val="08986B20"/>
    <w:rsid w:val="08B1198F"/>
    <w:rsid w:val="08BB1D51"/>
    <w:rsid w:val="08BD2368"/>
    <w:rsid w:val="08CD6EE3"/>
    <w:rsid w:val="08D86F1C"/>
    <w:rsid w:val="091A1D29"/>
    <w:rsid w:val="099B126A"/>
    <w:rsid w:val="09AF5ECF"/>
    <w:rsid w:val="09CA04F5"/>
    <w:rsid w:val="09FF7E17"/>
    <w:rsid w:val="0A0F2E11"/>
    <w:rsid w:val="0A9D21CB"/>
    <w:rsid w:val="0ACC2AB1"/>
    <w:rsid w:val="0ADA021C"/>
    <w:rsid w:val="0AEC55E2"/>
    <w:rsid w:val="0B3A3EBE"/>
    <w:rsid w:val="0B48482D"/>
    <w:rsid w:val="0B50521E"/>
    <w:rsid w:val="0B550CF8"/>
    <w:rsid w:val="0B5F3925"/>
    <w:rsid w:val="0B63652E"/>
    <w:rsid w:val="0BA92DF2"/>
    <w:rsid w:val="0BAE0408"/>
    <w:rsid w:val="0BB57752"/>
    <w:rsid w:val="0BC027C4"/>
    <w:rsid w:val="0BC973DA"/>
    <w:rsid w:val="0C061FF2"/>
    <w:rsid w:val="0C0B585A"/>
    <w:rsid w:val="0C321039"/>
    <w:rsid w:val="0C4843B9"/>
    <w:rsid w:val="0C4A38B5"/>
    <w:rsid w:val="0C625ACA"/>
    <w:rsid w:val="0C684A5B"/>
    <w:rsid w:val="0C6C00A7"/>
    <w:rsid w:val="0C7927C4"/>
    <w:rsid w:val="0CB50BA5"/>
    <w:rsid w:val="0CDC467F"/>
    <w:rsid w:val="0D0227BA"/>
    <w:rsid w:val="0D29243C"/>
    <w:rsid w:val="0D35077C"/>
    <w:rsid w:val="0D464D9C"/>
    <w:rsid w:val="0D4728C2"/>
    <w:rsid w:val="0D4E59FF"/>
    <w:rsid w:val="0D5E3267"/>
    <w:rsid w:val="0D6214AA"/>
    <w:rsid w:val="0D6671EC"/>
    <w:rsid w:val="0D7F02AE"/>
    <w:rsid w:val="0DA675E9"/>
    <w:rsid w:val="0DBF4B4E"/>
    <w:rsid w:val="0DDA3736"/>
    <w:rsid w:val="0E201CFF"/>
    <w:rsid w:val="0E6354DA"/>
    <w:rsid w:val="0E645F25"/>
    <w:rsid w:val="0E6C0832"/>
    <w:rsid w:val="0EB65F51"/>
    <w:rsid w:val="0EF56A7A"/>
    <w:rsid w:val="0F074173"/>
    <w:rsid w:val="0F0767AD"/>
    <w:rsid w:val="0F135152"/>
    <w:rsid w:val="0F582B65"/>
    <w:rsid w:val="0F674BEC"/>
    <w:rsid w:val="0F783207"/>
    <w:rsid w:val="0F985657"/>
    <w:rsid w:val="0FE16FFE"/>
    <w:rsid w:val="103510F8"/>
    <w:rsid w:val="108654B0"/>
    <w:rsid w:val="108A1444"/>
    <w:rsid w:val="10B77D5F"/>
    <w:rsid w:val="10D34B99"/>
    <w:rsid w:val="110E5BD1"/>
    <w:rsid w:val="111156C1"/>
    <w:rsid w:val="1142587A"/>
    <w:rsid w:val="11515ABE"/>
    <w:rsid w:val="115F467E"/>
    <w:rsid w:val="116A0355"/>
    <w:rsid w:val="11875983"/>
    <w:rsid w:val="11916802"/>
    <w:rsid w:val="119A7111"/>
    <w:rsid w:val="11B03549"/>
    <w:rsid w:val="11BB1D35"/>
    <w:rsid w:val="11C40985"/>
    <w:rsid w:val="11C646FD"/>
    <w:rsid w:val="11F12DFD"/>
    <w:rsid w:val="11FF4885"/>
    <w:rsid w:val="12266F4A"/>
    <w:rsid w:val="122F18D1"/>
    <w:rsid w:val="12394ECF"/>
    <w:rsid w:val="127A7296"/>
    <w:rsid w:val="127E6D86"/>
    <w:rsid w:val="12B251E9"/>
    <w:rsid w:val="12B54C5A"/>
    <w:rsid w:val="12C30C3D"/>
    <w:rsid w:val="12C624DB"/>
    <w:rsid w:val="12CF313E"/>
    <w:rsid w:val="12E50BB3"/>
    <w:rsid w:val="133236CD"/>
    <w:rsid w:val="134F427F"/>
    <w:rsid w:val="135950FD"/>
    <w:rsid w:val="1380268A"/>
    <w:rsid w:val="13AA7707"/>
    <w:rsid w:val="14686313"/>
    <w:rsid w:val="147A357D"/>
    <w:rsid w:val="14AB256A"/>
    <w:rsid w:val="14D709D0"/>
    <w:rsid w:val="14D902A4"/>
    <w:rsid w:val="150B2427"/>
    <w:rsid w:val="151E65FF"/>
    <w:rsid w:val="15415E49"/>
    <w:rsid w:val="15485429"/>
    <w:rsid w:val="15597637"/>
    <w:rsid w:val="15966195"/>
    <w:rsid w:val="15E24B1E"/>
    <w:rsid w:val="15FA4976"/>
    <w:rsid w:val="16175528"/>
    <w:rsid w:val="16607577"/>
    <w:rsid w:val="16660ABD"/>
    <w:rsid w:val="1666200B"/>
    <w:rsid w:val="16BC60CF"/>
    <w:rsid w:val="172B121D"/>
    <w:rsid w:val="17991F6C"/>
    <w:rsid w:val="17CF346B"/>
    <w:rsid w:val="17D15BAA"/>
    <w:rsid w:val="182061EA"/>
    <w:rsid w:val="184C6FDF"/>
    <w:rsid w:val="185D2F9A"/>
    <w:rsid w:val="18622CA6"/>
    <w:rsid w:val="189015C1"/>
    <w:rsid w:val="18AE55FB"/>
    <w:rsid w:val="18CB25F9"/>
    <w:rsid w:val="18D05E62"/>
    <w:rsid w:val="18DC65B5"/>
    <w:rsid w:val="190B230C"/>
    <w:rsid w:val="195E6FCA"/>
    <w:rsid w:val="199B1FCC"/>
    <w:rsid w:val="19C257AA"/>
    <w:rsid w:val="19C5529B"/>
    <w:rsid w:val="19E6048B"/>
    <w:rsid w:val="1A521936"/>
    <w:rsid w:val="1A530AF8"/>
    <w:rsid w:val="1A5D1977"/>
    <w:rsid w:val="1A612A46"/>
    <w:rsid w:val="1A7867B1"/>
    <w:rsid w:val="1A9A04D5"/>
    <w:rsid w:val="1AFD0A64"/>
    <w:rsid w:val="1B157F7A"/>
    <w:rsid w:val="1B5D026B"/>
    <w:rsid w:val="1B8D003A"/>
    <w:rsid w:val="1B9238A2"/>
    <w:rsid w:val="1BB60F3D"/>
    <w:rsid w:val="1C7D00AF"/>
    <w:rsid w:val="1CA218C3"/>
    <w:rsid w:val="1CAC2742"/>
    <w:rsid w:val="1CBD494F"/>
    <w:rsid w:val="1CC7132A"/>
    <w:rsid w:val="1CF2284B"/>
    <w:rsid w:val="1CF3742B"/>
    <w:rsid w:val="1D0E6F59"/>
    <w:rsid w:val="1D102CD1"/>
    <w:rsid w:val="1D1C1676"/>
    <w:rsid w:val="1D6B7F07"/>
    <w:rsid w:val="1D76522A"/>
    <w:rsid w:val="1D8B2B01"/>
    <w:rsid w:val="1DBB5B35"/>
    <w:rsid w:val="1DD62BC3"/>
    <w:rsid w:val="1DEC788D"/>
    <w:rsid w:val="1DF148B0"/>
    <w:rsid w:val="1E004AF3"/>
    <w:rsid w:val="1E0C3498"/>
    <w:rsid w:val="1E1B36DB"/>
    <w:rsid w:val="1E1C7453"/>
    <w:rsid w:val="1E4F2A7A"/>
    <w:rsid w:val="1E594203"/>
    <w:rsid w:val="1E635082"/>
    <w:rsid w:val="1E9C6B32"/>
    <w:rsid w:val="1EB1403F"/>
    <w:rsid w:val="1EC024D4"/>
    <w:rsid w:val="1EC27FFB"/>
    <w:rsid w:val="1EE51EB7"/>
    <w:rsid w:val="1EF02DBA"/>
    <w:rsid w:val="1EF04B68"/>
    <w:rsid w:val="1F070103"/>
    <w:rsid w:val="1F3031B6"/>
    <w:rsid w:val="1F66307C"/>
    <w:rsid w:val="1F752C8F"/>
    <w:rsid w:val="1F7F3A52"/>
    <w:rsid w:val="1FA12306"/>
    <w:rsid w:val="1FC87893"/>
    <w:rsid w:val="1FFB1A16"/>
    <w:rsid w:val="205E1FA5"/>
    <w:rsid w:val="209854B7"/>
    <w:rsid w:val="209D6898"/>
    <w:rsid w:val="20AF45AF"/>
    <w:rsid w:val="20B03C25"/>
    <w:rsid w:val="20BF7E56"/>
    <w:rsid w:val="20CE0ED9"/>
    <w:rsid w:val="20F5757B"/>
    <w:rsid w:val="20FD531A"/>
    <w:rsid w:val="20FF72E4"/>
    <w:rsid w:val="214116AB"/>
    <w:rsid w:val="21957C48"/>
    <w:rsid w:val="21E32762"/>
    <w:rsid w:val="220A23E4"/>
    <w:rsid w:val="220A3C81"/>
    <w:rsid w:val="22194343"/>
    <w:rsid w:val="22665141"/>
    <w:rsid w:val="22963C78"/>
    <w:rsid w:val="22A23018"/>
    <w:rsid w:val="22DD1784"/>
    <w:rsid w:val="234E6301"/>
    <w:rsid w:val="235A4CA6"/>
    <w:rsid w:val="235D4796"/>
    <w:rsid w:val="237437AC"/>
    <w:rsid w:val="23957A8C"/>
    <w:rsid w:val="23A14683"/>
    <w:rsid w:val="23A45F21"/>
    <w:rsid w:val="23B24AE2"/>
    <w:rsid w:val="23B87C1E"/>
    <w:rsid w:val="244C7BF3"/>
    <w:rsid w:val="24A361D8"/>
    <w:rsid w:val="24AC1531"/>
    <w:rsid w:val="24B44889"/>
    <w:rsid w:val="24BE74B6"/>
    <w:rsid w:val="24D26ABE"/>
    <w:rsid w:val="24E45D59"/>
    <w:rsid w:val="24FD3B3B"/>
    <w:rsid w:val="25056E93"/>
    <w:rsid w:val="251D242F"/>
    <w:rsid w:val="25290DD3"/>
    <w:rsid w:val="253471E6"/>
    <w:rsid w:val="255B2F57"/>
    <w:rsid w:val="258A1146"/>
    <w:rsid w:val="25BF34E6"/>
    <w:rsid w:val="25C94F8C"/>
    <w:rsid w:val="25CB3C39"/>
    <w:rsid w:val="25CC175F"/>
    <w:rsid w:val="26217CFD"/>
    <w:rsid w:val="26306192"/>
    <w:rsid w:val="263317DE"/>
    <w:rsid w:val="265A1224"/>
    <w:rsid w:val="26CA2142"/>
    <w:rsid w:val="26D46B1D"/>
    <w:rsid w:val="27392E24"/>
    <w:rsid w:val="274F43F6"/>
    <w:rsid w:val="27694594"/>
    <w:rsid w:val="276F4A98"/>
    <w:rsid w:val="27934C2A"/>
    <w:rsid w:val="27A72E58"/>
    <w:rsid w:val="27D668C5"/>
    <w:rsid w:val="27D8263D"/>
    <w:rsid w:val="27E261BD"/>
    <w:rsid w:val="282C4737"/>
    <w:rsid w:val="284101E2"/>
    <w:rsid w:val="28740FEB"/>
    <w:rsid w:val="287A090E"/>
    <w:rsid w:val="28AF339E"/>
    <w:rsid w:val="294F2DD3"/>
    <w:rsid w:val="29656152"/>
    <w:rsid w:val="297168A5"/>
    <w:rsid w:val="29ED0D25"/>
    <w:rsid w:val="2A247DBB"/>
    <w:rsid w:val="2A29279E"/>
    <w:rsid w:val="2A5A37DD"/>
    <w:rsid w:val="2A7F1496"/>
    <w:rsid w:val="2A8B1BE9"/>
    <w:rsid w:val="2AA333D6"/>
    <w:rsid w:val="2AB63109"/>
    <w:rsid w:val="2ACE1AD5"/>
    <w:rsid w:val="2AD73080"/>
    <w:rsid w:val="2AF2340B"/>
    <w:rsid w:val="2AF94DA4"/>
    <w:rsid w:val="2BCA4992"/>
    <w:rsid w:val="2BF37A45"/>
    <w:rsid w:val="2C2440A3"/>
    <w:rsid w:val="2C300B10"/>
    <w:rsid w:val="2C545D7C"/>
    <w:rsid w:val="2C844B41"/>
    <w:rsid w:val="2C9C1E8B"/>
    <w:rsid w:val="2CB52F4D"/>
    <w:rsid w:val="2CBA4C1D"/>
    <w:rsid w:val="2CBA706B"/>
    <w:rsid w:val="2CDC1490"/>
    <w:rsid w:val="2CEA709A"/>
    <w:rsid w:val="2CF77A09"/>
    <w:rsid w:val="2D2A393B"/>
    <w:rsid w:val="2D2E62FC"/>
    <w:rsid w:val="2D3C366E"/>
    <w:rsid w:val="2D5E5392"/>
    <w:rsid w:val="2D744BB6"/>
    <w:rsid w:val="2D746964"/>
    <w:rsid w:val="2DA5437D"/>
    <w:rsid w:val="2DD31305"/>
    <w:rsid w:val="2E156399"/>
    <w:rsid w:val="2E206AEC"/>
    <w:rsid w:val="2E3A0FCE"/>
    <w:rsid w:val="2E444588"/>
    <w:rsid w:val="2E76495E"/>
    <w:rsid w:val="2E826647"/>
    <w:rsid w:val="2E860F09"/>
    <w:rsid w:val="2EC929D3"/>
    <w:rsid w:val="2EF064BE"/>
    <w:rsid w:val="2F176141"/>
    <w:rsid w:val="2F2A7C22"/>
    <w:rsid w:val="2F314116"/>
    <w:rsid w:val="2F414F6C"/>
    <w:rsid w:val="2F5702EB"/>
    <w:rsid w:val="2F723377"/>
    <w:rsid w:val="2F762E67"/>
    <w:rsid w:val="2F9E23BE"/>
    <w:rsid w:val="2FD1009E"/>
    <w:rsid w:val="2FDE27BA"/>
    <w:rsid w:val="2FF40230"/>
    <w:rsid w:val="30085A89"/>
    <w:rsid w:val="303E1CD5"/>
    <w:rsid w:val="30536D05"/>
    <w:rsid w:val="30817D16"/>
    <w:rsid w:val="308E41E1"/>
    <w:rsid w:val="308E5F8F"/>
    <w:rsid w:val="30A21A3A"/>
    <w:rsid w:val="30A6152A"/>
    <w:rsid w:val="30C776F3"/>
    <w:rsid w:val="31085D41"/>
    <w:rsid w:val="31322DBE"/>
    <w:rsid w:val="313A1C72"/>
    <w:rsid w:val="31D9592F"/>
    <w:rsid w:val="322C193C"/>
    <w:rsid w:val="3264344B"/>
    <w:rsid w:val="328777B0"/>
    <w:rsid w:val="32AE46C6"/>
    <w:rsid w:val="32E97DF4"/>
    <w:rsid w:val="330864CC"/>
    <w:rsid w:val="332E3A59"/>
    <w:rsid w:val="3361798A"/>
    <w:rsid w:val="33865643"/>
    <w:rsid w:val="33953AD8"/>
    <w:rsid w:val="339C3413"/>
    <w:rsid w:val="340053F5"/>
    <w:rsid w:val="34050C5E"/>
    <w:rsid w:val="34164C19"/>
    <w:rsid w:val="341669C7"/>
    <w:rsid w:val="344C23E9"/>
    <w:rsid w:val="34572B3B"/>
    <w:rsid w:val="345D63A4"/>
    <w:rsid w:val="346F257B"/>
    <w:rsid w:val="34763909"/>
    <w:rsid w:val="34841780"/>
    <w:rsid w:val="34A54461"/>
    <w:rsid w:val="34CE72A2"/>
    <w:rsid w:val="35305866"/>
    <w:rsid w:val="354B26A0"/>
    <w:rsid w:val="355D23D3"/>
    <w:rsid w:val="35731BF7"/>
    <w:rsid w:val="35CD5127"/>
    <w:rsid w:val="35D00DF7"/>
    <w:rsid w:val="35D46B3A"/>
    <w:rsid w:val="35DC59EE"/>
    <w:rsid w:val="35E07771"/>
    <w:rsid w:val="35F44AE6"/>
    <w:rsid w:val="35F920FC"/>
    <w:rsid w:val="36050AA1"/>
    <w:rsid w:val="361B02C4"/>
    <w:rsid w:val="36511F38"/>
    <w:rsid w:val="36C26992"/>
    <w:rsid w:val="36C72016"/>
    <w:rsid w:val="36D1221B"/>
    <w:rsid w:val="370C2303"/>
    <w:rsid w:val="372C6501"/>
    <w:rsid w:val="375021F0"/>
    <w:rsid w:val="37585548"/>
    <w:rsid w:val="37737C8C"/>
    <w:rsid w:val="37931D11"/>
    <w:rsid w:val="37D50947"/>
    <w:rsid w:val="37F702D9"/>
    <w:rsid w:val="385950D4"/>
    <w:rsid w:val="38875604"/>
    <w:rsid w:val="38A345A1"/>
    <w:rsid w:val="38A722E3"/>
    <w:rsid w:val="38BB4203"/>
    <w:rsid w:val="38C033A5"/>
    <w:rsid w:val="38E057F5"/>
    <w:rsid w:val="393C44E7"/>
    <w:rsid w:val="394418E0"/>
    <w:rsid w:val="398D719A"/>
    <w:rsid w:val="39B649AE"/>
    <w:rsid w:val="39C11183"/>
    <w:rsid w:val="39D864CC"/>
    <w:rsid w:val="3A59760D"/>
    <w:rsid w:val="3A647F2E"/>
    <w:rsid w:val="3AA840F1"/>
    <w:rsid w:val="3AAF1923"/>
    <w:rsid w:val="3ABD5DEE"/>
    <w:rsid w:val="3AEC222F"/>
    <w:rsid w:val="3B0357CB"/>
    <w:rsid w:val="3B273268"/>
    <w:rsid w:val="3B45455D"/>
    <w:rsid w:val="3BDA58DB"/>
    <w:rsid w:val="3BF910A8"/>
    <w:rsid w:val="3C830972"/>
    <w:rsid w:val="3CD704DD"/>
    <w:rsid w:val="3D2F4655"/>
    <w:rsid w:val="3D431CCA"/>
    <w:rsid w:val="3D583BAC"/>
    <w:rsid w:val="3D6E5FB2"/>
    <w:rsid w:val="3D70539A"/>
    <w:rsid w:val="3D8011F0"/>
    <w:rsid w:val="3D8E3A72"/>
    <w:rsid w:val="3DB334D8"/>
    <w:rsid w:val="3DE90CA8"/>
    <w:rsid w:val="3E483C21"/>
    <w:rsid w:val="3E59270A"/>
    <w:rsid w:val="3EF67B21"/>
    <w:rsid w:val="3EFD0B0C"/>
    <w:rsid w:val="3F4A5777"/>
    <w:rsid w:val="3F830C89"/>
    <w:rsid w:val="3F9904AC"/>
    <w:rsid w:val="3FCC262F"/>
    <w:rsid w:val="3FF04570"/>
    <w:rsid w:val="40322DDA"/>
    <w:rsid w:val="40324B88"/>
    <w:rsid w:val="403326AF"/>
    <w:rsid w:val="403A3A3D"/>
    <w:rsid w:val="404947E8"/>
    <w:rsid w:val="40896772"/>
    <w:rsid w:val="40BF54B6"/>
    <w:rsid w:val="40FD4552"/>
    <w:rsid w:val="412A1D04"/>
    <w:rsid w:val="412F731A"/>
    <w:rsid w:val="41485C14"/>
    <w:rsid w:val="41650F8E"/>
    <w:rsid w:val="417116E0"/>
    <w:rsid w:val="417967E7"/>
    <w:rsid w:val="418F7DB9"/>
    <w:rsid w:val="41C757A4"/>
    <w:rsid w:val="421D53C4"/>
    <w:rsid w:val="421D7172"/>
    <w:rsid w:val="426052B1"/>
    <w:rsid w:val="427174BE"/>
    <w:rsid w:val="428460B8"/>
    <w:rsid w:val="42DC77DF"/>
    <w:rsid w:val="42FF4ACA"/>
    <w:rsid w:val="430D5439"/>
    <w:rsid w:val="431A7B56"/>
    <w:rsid w:val="431B1B9B"/>
    <w:rsid w:val="434671F0"/>
    <w:rsid w:val="437E6337"/>
    <w:rsid w:val="43896011"/>
    <w:rsid w:val="438C1570"/>
    <w:rsid w:val="43FB34E3"/>
    <w:rsid w:val="440F6F8F"/>
    <w:rsid w:val="44103433"/>
    <w:rsid w:val="443F493E"/>
    <w:rsid w:val="4453331F"/>
    <w:rsid w:val="446C43E1"/>
    <w:rsid w:val="44A8366B"/>
    <w:rsid w:val="44E2662B"/>
    <w:rsid w:val="4513083A"/>
    <w:rsid w:val="453F38A4"/>
    <w:rsid w:val="45617CBE"/>
    <w:rsid w:val="45B918A8"/>
    <w:rsid w:val="45C36283"/>
    <w:rsid w:val="45D71D2E"/>
    <w:rsid w:val="45E561F9"/>
    <w:rsid w:val="45E96F9B"/>
    <w:rsid w:val="462925EF"/>
    <w:rsid w:val="462F7F70"/>
    <w:rsid w:val="46367005"/>
    <w:rsid w:val="466D06D5"/>
    <w:rsid w:val="4682613E"/>
    <w:rsid w:val="46884056"/>
    <w:rsid w:val="468C0D6B"/>
    <w:rsid w:val="4690085B"/>
    <w:rsid w:val="46BA1434"/>
    <w:rsid w:val="470152B5"/>
    <w:rsid w:val="470703F1"/>
    <w:rsid w:val="473A07C7"/>
    <w:rsid w:val="47451645"/>
    <w:rsid w:val="474E7DCE"/>
    <w:rsid w:val="47615D53"/>
    <w:rsid w:val="47BA3333"/>
    <w:rsid w:val="47C167F2"/>
    <w:rsid w:val="47D91D8D"/>
    <w:rsid w:val="47F44DC1"/>
    <w:rsid w:val="47F92430"/>
    <w:rsid w:val="480F1C53"/>
    <w:rsid w:val="48262006"/>
    <w:rsid w:val="48435459"/>
    <w:rsid w:val="485338EE"/>
    <w:rsid w:val="48A64365"/>
    <w:rsid w:val="48EE3617"/>
    <w:rsid w:val="48FD7CFE"/>
    <w:rsid w:val="490270C2"/>
    <w:rsid w:val="492139EC"/>
    <w:rsid w:val="49380D36"/>
    <w:rsid w:val="493A685C"/>
    <w:rsid w:val="49417BEA"/>
    <w:rsid w:val="494E0559"/>
    <w:rsid w:val="49555444"/>
    <w:rsid w:val="498126DD"/>
    <w:rsid w:val="49DF11B1"/>
    <w:rsid w:val="4A0550BC"/>
    <w:rsid w:val="4A1E617D"/>
    <w:rsid w:val="4A273284"/>
    <w:rsid w:val="4A3C6604"/>
    <w:rsid w:val="4A4200BE"/>
    <w:rsid w:val="4A4756D4"/>
    <w:rsid w:val="4A7162AD"/>
    <w:rsid w:val="4A7C1915"/>
    <w:rsid w:val="4AA4350E"/>
    <w:rsid w:val="4AA93C99"/>
    <w:rsid w:val="4B241572"/>
    <w:rsid w:val="4B7818BD"/>
    <w:rsid w:val="4B904E59"/>
    <w:rsid w:val="4B922516"/>
    <w:rsid w:val="4BC863A1"/>
    <w:rsid w:val="4BD046E5"/>
    <w:rsid w:val="4BD96800"/>
    <w:rsid w:val="4C5916EF"/>
    <w:rsid w:val="4C6951CD"/>
    <w:rsid w:val="4C6A7458"/>
    <w:rsid w:val="4C6F2CC0"/>
    <w:rsid w:val="4C942727"/>
    <w:rsid w:val="4CC528E0"/>
    <w:rsid w:val="4D001B6A"/>
    <w:rsid w:val="4D027691"/>
    <w:rsid w:val="4D2F216C"/>
    <w:rsid w:val="4D31441A"/>
    <w:rsid w:val="4D677E3B"/>
    <w:rsid w:val="4D6D36A4"/>
    <w:rsid w:val="4D73233C"/>
    <w:rsid w:val="4D7B7443"/>
    <w:rsid w:val="4D8F3BDA"/>
    <w:rsid w:val="4DBA440F"/>
    <w:rsid w:val="4DDA7ACB"/>
    <w:rsid w:val="4E0B4C6B"/>
    <w:rsid w:val="4E257ADB"/>
    <w:rsid w:val="4E2B2C17"/>
    <w:rsid w:val="4E557C94"/>
    <w:rsid w:val="4E7E543D"/>
    <w:rsid w:val="4EBE3A8B"/>
    <w:rsid w:val="4EBE7F2F"/>
    <w:rsid w:val="4F3855EC"/>
    <w:rsid w:val="4F8627FB"/>
    <w:rsid w:val="4F9547EC"/>
    <w:rsid w:val="4F9F1B0F"/>
    <w:rsid w:val="4FC829CC"/>
    <w:rsid w:val="4FE83C6B"/>
    <w:rsid w:val="4FFA308A"/>
    <w:rsid w:val="4FFF25F6"/>
    <w:rsid w:val="5032028D"/>
    <w:rsid w:val="504B134F"/>
    <w:rsid w:val="5060304C"/>
    <w:rsid w:val="508C2093"/>
    <w:rsid w:val="50B03D7C"/>
    <w:rsid w:val="50B67110"/>
    <w:rsid w:val="50D77086"/>
    <w:rsid w:val="50E05F3B"/>
    <w:rsid w:val="50E35A2B"/>
    <w:rsid w:val="50E53551"/>
    <w:rsid w:val="50E579F5"/>
    <w:rsid w:val="50E7376D"/>
    <w:rsid w:val="510A2FB8"/>
    <w:rsid w:val="512F6EC2"/>
    <w:rsid w:val="513F7105"/>
    <w:rsid w:val="51450494"/>
    <w:rsid w:val="51654692"/>
    <w:rsid w:val="517843C5"/>
    <w:rsid w:val="51C26390"/>
    <w:rsid w:val="51DC4954"/>
    <w:rsid w:val="5208536C"/>
    <w:rsid w:val="521A722A"/>
    <w:rsid w:val="52214A5D"/>
    <w:rsid w:val="52354064"/>
    <w:rsid w:val="52391DA6"/>
    <w:rsid w:val="528D7C00"/>
    <w:rsid w:val="52CD24EF"/>
    <w:rsid w:val="52E066C6"/>
    <w:rsid w:val="52FB705C"/>
    <w:rsid w:val="52FC0F1A"/>
    <w:rsid w:val="5325232B"/>
    <w:rsid w:val="536015B5"/>
    <w:rsid w:val="53733096"/>
    <w:rsid w:val="539C43D9"/>
    <w:rsid w:val="53BC2C8F"/>
    <w:rsid w:val="53EC109A"/>
    <w:rsid w:val="540B1521"/>
    <w:rsid w:val="54493DF7"/>
    <w:rsid w:val="54796117"/>
    <w:rsid w:val="547F3C2A"/>
    <w:rsid w:val="54890697"/>
    <w:rsid w:val="54AC068E"/>
    <w:rsid w:val="54CA318A"/>
    <w:rsid w:val="54F226E1"/>
    <w:rsid w:val="550C37A2"/>
    <w:rsid w:val="552F7491"/>
    <w:rsid w:val="55E867D3"/>
    <w:rsid w:val="55F61D5C"/>
    <w:rsid w:val="561F3061"/>
    <w:rsid w:val="56293EE0"/>
    <w:rsid w:val="56486A5C"/>
    <w:rsid w:val="56967761"/>
    <w:rsid w:val="56B240ED"/>
    <w:rsid w:val="56D1024A"/>
    <w:rsid w:val="56FA587C"/>
    <w:rsid w:val="572C012C"/>
    <w:rsid w:val="57635426"/>
    <w:rsid w:val="576B0797"/>
    <w:rsid w:val="578515EA"/>
    <w:rsid w:val="579D4B86"/>
    <w:rsid w:val="57D83E10"/>
    <w:rsid w:val="57D91936"/>
    <w:rsid w:val="58564D34"/>
    <w:rsid w:val="585711D8"/>
    <w:rsid w:val="587F072F"/>
    <w:rsid w:val="58900246"/>
    <w:rsid w:val="589E6E07"/>
    <w:rsid w:val="58D77C23"/>
    <w:rsid w:val="58D81BED"/>
    <w:rsid w:val="58E81E30"/>
    <w:rsid w:val="5907537C"/>
    <w:rsid w:val="59101387"/>
    <w:rsid w:val="59162E13"/>
    <w:rsid w:val="59367040"/>
    <w:rsid w:val="594352B9"/>
    <w:rsid w:val="597D4C6F"/>
    <w:rsid w:val="5999312B"/>
    <w:rsid w:val="59D800F7"/>
    <w:rsid w:val="59E22D24"/>
    <w:rsid w:val="59E3084A"/>
    <w:rsid w:val="59ED054E"/>
    <w:rsid w:val="59F82547"/>
    <w:rsid w:val="5A2C21F1"/>
    <w:rsid w:val="5A4A08C9"/>
    <w:rsid w:val="5A5A1213"/>
    <w:rsid w:val="5A5F25C6"/>
    <w:rsid w:val="5A9C2024"/>
    <w:rsid w:val="5ACE5056"/>
    <w:rsid w:val="5AFA5E4B"/>
    <w:rsid w:val="5B062A42"/>
    <w:rsid w:val="5B0D044A"/>
    <w:rsid w:val="5B490B80"/>
    <w:rsid w:val="5B500161"/>
    <w:rsid w:val="5B557525"/>
    <w:rsid w:val="5B57329D"/>
    <w:rsid w:val="5B637E94"/>
    <w:rsid w:val="5B6634E0"/>
    <w:rsid w:val="5B6A1223"/>
    <w:rsid w:val="5B9E711E"/>
    <w:rsid w:val="5BB406F0"/>
    <w:rsid w:val="5BD26DC8"/>
    <w:rsid w:val="5BDE576D"/>
    <w:rsid w:val="5BE2700B"/>
    <w:rsid w:val="5C245875"/>
    <w:rsid w:val="5C5679F9"/>
    <w:rsid w:val="5C5D2DC6"/>
    <w:rsid w:val="5C651B97"/>
    <w:rsid w:val="5C7B745F"/>
    <w:rsid w:val="5C8207EE"/>
    <w:rsid w:val="5CE96177"/>
    <w:rsid w:val="5D156F6C"/>
    <w:rsid w:val="5D431D2B"/>
    <w:rsid w:val="5D8B5480"/>
    <w:rsid w:val="5DAB2A98"/>
    <w:rsid w:val="5DEA1B87"/>
    <w:rsid w:val="5E0E0938"/>
    <w:rsid w:val="5E907F6A"/>
    <w:rsid w:val="5EA93E10"/>
    <w:rsid w:val="5F276A30"/>
    <w:rsid w:val="5F3A53B0"/>
    <w:rsid w:val="5F5C0E82"/>
    <w:rsid w:val="5FA6729D"/>
    <w:rsid w:val="5FE26B80"/>
    <w:rsid w:val="5FE61094"/>
    <w:rsid w:val="5FE86BBA"/>
    <w:rsid w:val="5FEA612F"/>
    <w:rsid w:val="60304C52"/>
    <w:rsid w:val="604A1623"/>
    <w:rsid w:val="605129B1"/>
    <w:rsid w:val="60563B24"/>
    <w:rsid w:val="60806DF2"/>
    <w:rsid w:val="60B847DE"/>
    <w:rsid w:val="60E07891"/>
    <w:rsid w:val="60FD0443"/>
    <w:rsid w:val="612C2AD6"/>
    <w:rsid w:val="61502C69"/>
    <w:rsid w:val="617F52FC"/>
    <w:rsid w:val="61970898"/>
    <w:rsid w:val="61AC532C"/>
    <w:rsid w:val="62314848"/>
    <w:rsid w:val="623600B0"/>
    <w:rsid w:val="6280757E"/>
    <w:rsid w:val="62BB6808"/>
    <w:rsid w:val="63060C36"/>
    <w:rsid w:val="631A352E"/>
    <w:rsid w:val="637F5A87"/>
    <w:rsid w:val="639808F7"/>
    <w:rsid w:val="63A20A47"/>
    <w:rsid w:val="63B868A3"/>
    <w:rsid w:val="63C90AB0"/>
    <w:rsid w:val="63CD67F3"/>
    <w:rsid w:val="63E36016"/>
    <w:rsid w:val="63F35B2D"/>
    <w:rsid w:val="640F2276"/>
    <w:rsid w:val="64177A6E"/>
    <w:rsid w:val="643E324C"/>
    <w:rsid w:val="64573E00"/>
    <w:rsid w:val="64607667"/>
    <w:rsid w:val="64882719"/>
    <w:rsid w:val="648F5856"/>
    <w:rsid w:val="64AC3E4C"/>
    <w:rsid w:val="64AF59B2"/>
    <w:rsid w:val="64BB7A8C"/>
    <w:rsid w:val="64F46001"/>
    <w:rsid w:val="650C50F9"/>
    <w:rsid w:val="65136487"/>
    <w:rsid w:val="652341F0"/>
    <w:rsid w:val="65362175"/>
    <w:rsid w:val="65613696"/>
    <w:rsid w:val="658D4B95"/>
    <w:rsid w:val="659C46CE"/>
    <w:rsid w:val="65DD69BA"/>
    <w:rsid w:val="65FC516D"/>
    <w:rsid w:val="66007358"/>
    <w:rsid w:val="66171FA7"/>
    <w:rsid w:val="66187ACD"/>
    <w:rsid w:val="661C580F"/>
    <w:rsid w:val="66293A88"/>
    <w:rsid w:val="665B2709"/>
    <w:rsid w:val="669E3A78"/>
    <w:rsid w:val="66A01F9C"/>
    <w:rsid w:val="66B43DFE"/>
    <w:rsid w:val="66C13CC1"/>
    <w:rsid w:val="66C832A1"/>
    <w:rsid w:val="66D44F68"/>
    <w:rsid w:val="66E55C01"/>
    <w:rsid w:val="66F77F82"/>
    <w:rsid w:val="67030CBD"/>
    <w:rsid w:val="67112E9A"/>
    <w:rsid w:val="674943E2"/>
    <w:rsid w:val="676B07FC"/>
    <w:rsid w:val="67B0620F"/>
    <w:rsid w:val="67FF7197"/>
    <w:rsid w:val="68064081"/>
    <w:rsid w:val="68662D72"/>
    <w:rsid w:val="6873723D"/>
    <w:rsid w:val="68863414"/>
    <w:rsid w:val="6898646E"/>
    <w:rsid w:val="68B63CF9"/>
    <w:rsid w:val="68DB3760"/>
    <w:rsid w:val="68E72104"/>
    <w:rsid w:val="690031C6"/>
    <w:rsid w:val="691427CE"/>
    <w:rsid w:val="69164798"/>
    <w:rsid w:val="691D54FB"/>
    <w:rsid w:val="69584DB0"/>
    <w:rsid w:val="69766FE4"/>
    <w:rsid w:val="69D41F5D"/>
    <w:rsid w:val="69DF4B8A"/>
    <w:rsid w:val="69FD18AA"/>
    <w:rsid w:val="6A4315BC"/>
    <w:rsid w:val="6A5F3F1C"/>
    <w:rsid w:val="6AEF34F2"/>
    <w:rsid w:val="6B016D82"/>
    <w:rsid w:val="6B234F4A"/>
    <w:rsid w:val="6B460C38"/>
    <w:rsid w:val="6B6317EA"/>
    <w:rsid w:val="6B67752D"/>
    <w:rsid w:val="6BB42046"/>
    <w:rsid w:val="6BC93D43"/>
    <w:rsid w:val="6BCE40D1"/>
    <w:rsid w:val="6BE446D9"/>
    <w:rsid w:val="6BFB0529"/>
    <w:rsid w:val="6C3867D3"/>
    <w:rsid w:val="6C6121CE"/>
    <w:rsid w:val="6C781BAE"/>
    <w:rsid w:val="6C8859AD"/>
    <w:rsid w:val="6CA36342"/>
    <w:rsid w:val="6D0A4613"/>
    <w:rsid w:val="6D0F1C2A"/>
    <w:rsid w:val="6D254FA9"/>
    <w:rsid w:val="6D2B6338"/>
    <w:rsid w:val="6D5C1537"/>
    <w:rsid w:val="6D5C2995"/>
    <w:rsid w:val="6D882F0B"/>
    <w:rsid w:val="6D8A12B0"/>
    <w:rsid w:val="6D8E6AC2"/>
    <w:rsid w:val="6DD24A05"/>
    <w:rsid w:val="6E313E22"/>
    <w:rsid w:val="6E7361E8"/>
    <w:rsid w:val="6E7855AD"/>
    <w:rsid w:val="6E7F06E9"/>
    <w:rsid w:val="6ED30A35"/>
    <w:rsid w:val="6ED45755"/>
    <w:rsid w:val="6EDC68BD"/>
    <w:rsid w:val="6EDE6F26"/>
    <w:rsid w:val="6EED5F9B"/>
    <w:rsid w:val="6F32509C"/>
    <w:rsid w:val="6F4831D1"/>
    <w:rsid w:val="6F7C10CD"/>
    <w:rsid w:val="6F7E4E45"/>
    <w:rsid w:val="6F8F0E00"/>
    <w:rsid w:val="6FC51421"/>
    <w:rsid w:val="6FCC3E02"/>
    <w:rsid w:val="6FCC5BB0"/>
    <w:rsid w:val="6FCF38F2"/>
    <w:rsid w:val="700417EE"/>
    <w:rsid w:val="7023779A"/>
    <w:rsid w:val="70531E2E"/>
    <w:rsid w:val="707222FC"/>
    <w:rsid w:val="70812E3F"/>
    <w:rsid w:val="709D12FB"/>
    <w:rsid w:val="70B325E8"/>
    <w:rsid w:val="70C1323B"/>
    <w:rsid w:val="70CE5958"/>
    <w:rsid w:val="70DC0075"/>
    <w:rsid w:val="70E92792"/>
    <w:rsid w:val="711A0B9D"/>
    <w:rsid w:val="7141612A"/>
    <w:rsid w:val="715C0CB2"/>
    <w:rsid w:val="71755DD4"/>
    <w:rsid w:val="71877260"/>
    <w:rsid w:val="71956476"/>
    <w:rsid w:val="71A072F4"/>
    <w:rsid w:val="71B46409"/>
    <w:rsid w:val="71C72AD3"/>
    <w:rsid w:val="71CF1988"/>
    <w:rsid w:val="71DC0AED"/>
    <w:rsid w:val="71EA0570"/>
    <w:rsid w:val="72366228"/>
    <w:rsid w:val="723D0FE7"/>
    <w:rsid w:val="723D2D95"/>
    <w:rsid w:val="728C1627"/>
    <w:rsid w:val="72A9042B"/>
    <w:rsid w:val="72E4281C"/>
    <w:rsid w:val="73047B19"/>
    <w:rsid w:val="735760D9"/>
    <w:rsid w:val="73AF7CC3"/>
    <w:rsid w:val="73B726D3"/>
    <w:rsid w:val="73FE6CCE"/>
    <w:rsid w:val="74496FEA"/>
    <w:rsid w:val="744C3764"/>
    <w:rsid w:val="74744A68"/>
    <w:rsid w:val="74820F33"/>
    <w:rsid w:val="74896D31"/>
    <w:rsid w:val="74FF2584"/>
    <w:rsid w:val="750556C0"/>
    <w:rsid w:val="7592164A"/>
    <w:rsid w:val="75D752AF"/>
    <w:rsid w:val="76297B1D"/>
    <w:rsid w:val="7677439C"/>
    <w:rsid w:val="768D3BBF"/>
    <w:rsid w:val="769909B4"/>
    <w:rsid w:val="76CC0B8C"/>
    <w:rsid w:val="76FD2AF3"/>
    <w:rsid w:val="7722255A"/>
    <w:rsid w:val="774921DC"/>
    <w:rsid w:val="776668EA"/>
    <w:rsid w:val="777027EC"/>
    <w:rsid w:val="77753280"/>
    <w:rsid w:val="778D031B"/>
    <w:rsid w:val="77950F7E"/>
    <w:rsid w:val="77955421"/>
    <w:rsid w:val="77F4039A"/>
    <w:rsid w:val="781C51FB"/>
    <w:rsid w:val="7820118F"/>
    <w:rsid w:val="788F00C3"/>
    <w:rsid w:val="78B83176"/>
    <w:rsid w:val="78BF6A48"/>
    <w:rsid w:val="78CD4747"/>
    <w:rsid w:val="78D22EB2"/>
    <w:rsid w:val="78EA354B"/>
    <w:rsid w:val="78F10436"/>
    <w:rsid w:val="79294073"/>
    <w:rsid w:val="79425135"/>
    <w:rsid w:val="79492020"/>
    <w:rsid w:val="796A42FA"/>
    <w:rsid w:val="79951709"/>
    <w:rsid w:val="79A47B9E"/>
    <w:rsid w:val="79A951A2"/>
    <w:rsid w:val="79B07AB5"/>
    <w:rsid w:val="79D264B9"/>
    <w:rsid w:val="7A3E58FC"/>
    <w:rsid w:val="7A513882"/>
    <w:rsid w:val="7A6115EB"/>
    <w:rsid w:val="7A680BCB"/>
    <w:rsid w:val="7A7D6872"/>
    <w:rsid w:val="7AA563D4"/>
    <w:rsid w:val="7AE2272C"/>
    <w:rsid w:val="7AFD1314"/>
    <w:rsid w:val="7B871525"/>
    <w:rsid w:val="7B94453A"/>
    <w:rsid w:val="7BB87930"/>
    <w:rsid w:val="7BD75BE6"/>
    <w:rsid w:val="7BF30969"/>
    <w:rsid w:val="7C156B31"/>
    <w:rsid w:val="7C4E3340"/>
    <w:rsid w:val="7C5036C5"/>
    <w:rsid w:val="7C7C44BA"/>
    <w:rsid w:val="7CF15114"/>
    <w:rsid w:val="7D0A6EF5"/>
    <w:rsid w:val="7D32101D"/>
    <w:rsid w:val="7D40373A"/>
    <w:rsid w:val="7D7D673C"/>
    <w:rsid w:val="7D845D1C"/>
    <w:rsid w:val="7D943A85"/>
    <w:rsid w:val="7DD520D4"/>
    <w:rsid w:val="7E002EC9"/>
    <w:rsid w:val="7E01736D"/>
    <w:rsid w:val="7E130E4E"/>
    <w:rsid w:val="7E265025"/>
    <w:rsid w:val="7E5020A2"/>
    <w:rsid w:val="7E7A49CB"/>
    <w:rsid w:val="7EC34622"/>
    <w:rsid w:val="7EE30820"/>
    <w:rsid w:val="7F17496E"/>
    <w:rsid w:val="7F4676F4"/>
    <w:rsid w:val="7F4734A5"/>
    <w:rsid w:val="7F4A08A0"/>
    <w:rsid w:val="7FD85EAB"/>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spacing w:beforeAutospacing="1" w:afterAutospacing="1"/>
      <w:outlineLvl w:val="0"/>
    </w:pPr>
    <w:rPr>
      <w:rFonts w:hint="eastAsia" w:ascii="宋体" w:hAnsi="宋体" w:eastAsia="黑体" w:cs="Times New Roman"/>
      <w:b/>
      <w:bCs/>
      <w:kern w:val="44"/>
      <w:sz w:val="22"/>
      <w:szCs w:val="48"/>
      <w:lang w:eastAsia="zh-CN"/>
    </w:rPr>
  </w:style>
  <w:style w:type="paragraph" w:styleId="3">
    <w:name w:val="heading 4"/>
    <w:basedOn w:val="1"/>
    <w:next w:val="1"/>
    <w:qFormat/>
    <w:uiPriority w:val="0"/>
    <w:pPr>
      <w:keepNext/>
      <w:keepLines/>
      <w:spacing w:beforeLines="100" w:line="360" w:lineRule="auto"/>
      <w:jc w:val="center"/>
      <w:outlineLvl w:val="3"/>
    </w:pPr>
    <w:rPr>
      <w:rFonts w:eastAsia="黑体"/>
      <w:bCs/>
      <w:sz w:val="2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style>
  <w:style w:type="paragraph" w:styleId="5">
    <w:name w:val="Body Text"/>
    <w:basedOn w:val="1"/>
    <w:semiHidden/>
    <w:qFormat/>
    <w:uiPriority w:val="0"/>
    <w:rPr>
      <w:rFonts w:ascii="黑体" w:hAnsi="黑体" w:eastAsia="黑体" w:cs="黑体"/>
      <w:sz w:val="31"/>
      <w:szCs w:val="31"/>
    </w:rPr>
  </w:style>
  <w:style w:type="paragraph" w:styleId="6">
    <w:name w:val="footer"/>
    <w:basedOn w:val="1"/>
    <w:qFormat/>
    <w:uiPriority w:val="0"/>
    <w:pPr>
      <w:tabs>
        <w:tab w:val="center" w:pos="4153"/>
        <w:tab w:val="right" w:pos="8306"/>
      </w:tabs>
    </w:pPr>
    <w:rPr>
      <w:sz w:val="18"/>
    </w:rPr>
  </w:style>
  <w:style w:type="paragraph" w:styleId="7">
    <w:name w:val="header"/>
    <w:basedOn w:val="1"/>
    <w:link w:val="15"/>
    <w:qFormat/>
    <w:uiPriority w:val="0"/>
    <w:pPr>
      <w:tabs>
        <w:tab w:val="center" w:pos="4153"/>
        <w:tab w:val="right" w:pos="8306"/>
      </w:tabs>
      <w:jc w:val="center"/>
    </w:pPr>
    <w:rPr>
      <w:sz w:val="18"/>
      <w:szCs w:val="18"/>
    </w:rPr>
  </w:style>
  <w:style w:type="paragraph" w:styleId="8">
    <w:name w:val="toc 1"/>
    <w:basedOn w:val="1"/>
    <w:next w:val="1"/>
    <w:qFormat/>
    <w:uiPriority w:val="39"/>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26E5" w:themeColor="hyperlink"/>
      <w:u w:val="single"/>
      <w14:textFill>
        <w14:solidFill>
          <w14:schemeClr w14:val="hlink"/>
        </w14:solidFill>
      </w14:textFill>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样式2"/>
    <w:basedOn w:val="3"/>
    <w:qFormat/>
    <w:uiPriority w:val="0"/>
    <w:pPr>
      <w:spacing w:beforeLines="0" w:after="240"/>
    </w:pPr>
    <w:rPr>
      <w:rFonts w:ascii="宋体" w:hAnsi="宋体"/>
      <w:b/>
      <w:sz w:val="24"/>
    </w:rPr>
  </w:style>
  <w:style w:type="character" w:customStyle="1" w:styleId="15">
    <w:name w:val="页眉 字符"/>
    <w:basedOn w:val="11"/>
    <w:link w:val="7"/>
    <w:qFormat/>
    <w:uiPriority w:val="0"/>
    <w:rPr>
      <w:rFonts w:ascii="Arial" w:hAnsi="Arial" w:eastAsia="Arial" w:cs="Arial"/>
      <w:snapToGrid w:val="0"/>
      <w:color w:val="000000"/>
      <w:sz w:val="18"/>
      <w:szCs w:val="18"/>
      <w:lang w:eastAsia="en-US"/>
    </w:rPr>
  </w:style>
  <w:style w:type="paragraph" w:customStyle="1" w:styleId="16">
    <w:name w:val="章标题"/>
    <w:next w:val="17"/>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8">
    <w:name w:val="一级条标题"/>
    <w:next w:val="17"/>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9">
    <w:name w:val="修订1"/>
    <w:hidden/>
    <w:unhideWhenUsed/>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7077</Words>
  <Characters>9256</Characters>
  <Lines>250</Lines>
  <Paragraphs>181</Paragraphs>
  <TotalTime>3</TotalTime>
  <ScaleCrop>false</ScaleCrop>
  <LinksUpToDate>false</LinksUpToDate>
  <CharactersWithSpaces>9453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2025-05-20T12:58:00Z</dcterms:created>
  <dc:creator>泳释岳怪乖</dc:creator>
  <cp:lastModifiedBy>刘毅827</cp:lastModifiedBy>
  <cp:lastPrinted>2025-04-10T14:21:00Z</cp:lastPrinted>
  <dcterms:modified xsi:type="dcterms:W3CDTF">2025-05-26T01:51:38Z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9471A48F76E047FCA9CFA4953B6FAC03_13</vt:lpwstr>
  </property>
  <property fmtid="{D5CDD505-2E9C-101B-9397-08002B2CF9AE}" pid="4" name="KSOTemplateDocerSaveRecord">
    <vt:lpwstr>eyJoZGlkIjoiN2IwNmY1MThmNjAxZmY5YzQ1N2NiOWVmM2ExYWUyODUiLCJ1c2VySWQiOiIzMTkwNzU0MjQifQ==</vt:lpwstr>
  </property>
</Properties>
</file>